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283" w:firstLine="0"/>
        <w:jc w:val="left"/>
        <w:rPr>
          <w:rFonts w:ascii="Arial" w:cs="Arial" w:eastAsia="Arial" w:hAnsi="Arial"/>
          <w:b w:val="1"/>
          <w:bCs w:val="1"/>
          <w:color w:val="000000"/>
          <w:sz w:val="36"/>
          <w:szCs w:val="36"/>
        </w:rPr>
      </w:pPr>
      <w:r w:rsidDel="00000000" w:rsidR="00000000" w:rsidRPr="00000000">
        <w:rPr>
          <w:rFonts w:ascii="Arial" w:cs="Arial" w:eastAsia="Arial" w:hAnsi="Arial"/>
          <w:b w:val="1"/>
          <w:bCs w:val="1"/>
          <w:color w:val="000000"/>
          <w:sz w:val="36"/>
          <w:szCs w:val="36"/>
          <w:rtl w:val="0"/>
        </w:rPr>
        <w:t xml:space="preserve">Joint Schedule 7 (Financial Difficulties)</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3">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Definitions</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Rule="auto"/>
        <w:ind w:left="644"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definitions shall apply:</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ind w:left="645" w:hanging="122.00000000000003"/>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“Applicable Financial Indicators”</w:t>
            </w:r>
          </w:p>
        </w:tc>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means the financial indicators from Paragraph </w:t>
            </w:r>
            <w:r w:rsidDel="00000000" w:rsidR="00000000" w:rsidRPr="00000000">
              <w:rPr>
                <w:rFonts w:ascii="Arial" w:cs="Arial" w:eastAsia="Arial" w:hAnsi="Arial"/>
                <w:smallCaps w:val="1"/>
                <w:color w:val="000000"/>
                <w:sz w:val="24"/>
                <w:szCs w:val="24"/>
                <w:rtl w:val="0"/>
              </w:rPr>
              <w:t xml:space="preserve">5.1 </w:t>
            </w:r>
            <w:r w:rsidDel="00000000" w:rsidR="00000000" w:rsidRPr="00000000">
              <w:rPr>
                <w:rFonts w:ascii="Arial" w:cs="Arial" w:eastAsia="Arial" w:hAnsi="Arial"/>
                <w:color w:val="000000"/>
                <w:sz w:val="24"/>
                <w:szCs w:val="24"/>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Rule="auto"/>
              <w:ind w:left="645" w:hanging="122.00000000000003"/>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“Board”</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89"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Supplier’s board of directors;</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645" w:hanging="122.00000000000003"/>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“Board Confirmation”</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Rule="auto"/>
              <w:ind w:left="89"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Rule="auto"/>
              <w:ind w:left="645" w:hanging="122.00000000000003"/>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“Bronze Contract”</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Rule="auto"/>
              <w:ind w:left="89"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categorised as a Bronze contract using the Cabinet Office Contract Tiering Tool;</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134"/>
              </w:tabs>
              <w:spacing w:after="120" w:before="120" w:lineRule="auto"/>
              <w:ind w:left="645" w:hanging="122.00000000000003"/>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“Cabinet Office Markets and Suppliers Team”</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Rule="auto"/>
              <w:ind w:left="89"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Rule="auto"/>
              <w:ind w:left="645" w:hanging="122.00000000000003"/>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“Credit Rating Threshold”</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left="89"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645" w:hanging="122.00000000000003"/>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“FDE Group”</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89" w:firstLine="0"/>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means the Supplier</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645" w:hanging="122.00000000000003"/>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“Financial Distress Event”</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89"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events listed in Paragraph 3.1 of this Schedule;</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645" w:hanging="122.00000000000003"/>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“Financial Distress Remediation Plan”</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Rule="auto"/>
              <w:ind w:left="89"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134"/>
              </w:tabs>
              <w:spacing w:after="120" w:before="120" w:lineRule="auto"/>
              <w:ind w:left="645" w:hanging="122.00000000000003"/>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“Financial Indicators”</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134"/>
              </w:tabs>
              <w:spacing w:after="120" w:before="120" w:lineRule="auto"/>
              <w:ind w:left="89"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Rule="auto"/>
              <w:ind w:left="645" w:hanging="122.00000000000003"/>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“Financial Target Thresholds”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Rule="auto"/>
              <w:ind w:left="89"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Rule="auto"/>
              <w:ind w:left="645" w:hanging="122.00000000000003"/>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“Monitored Suppliers”</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134"/>
              </w:tabs>
              <w:spacing w:after="120" w:before="120" w:lineRule="auto"/>
              <w:ind w:left="89"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645" w:hanging="122.00000000000003"/>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“Rating Agencies”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89"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Annex 1 of this Schedule;</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Rule="auto"/>
              <w:ind w:left="645" w:hanging="122.00000000000003"/>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“Strategic Supplier”</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134"/>
              </w:tabs>
              <w:spacing w:after="120" w:before="120" w:lineRule="auto"/>
              <w:ind w:left="89"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suppliers to government listed at </w:t>
            </w:r>
            <w:hyperlink r:id="rId7">
              <w:r w:rsidDel="00000000" w:rsidR="00000000" w:rsidRPr="00000000">
                <w:rPr>
                  <w:rFonts w:ascii="Arial" w:cs="Arial" w:eastAsia="Arial" w:hAnsi="Arial"/>
                  <w:color w:val="000000"/>
                  <w:sz w:val="24"/>
                  <w:szCs w:val="24"/>
                  <w:rtl w:val="0"/>
                </w:rPr>
                <w:t xml:space="preserve">https://www.gov.uk/government/publications/strategic-suppliers</w:t>
              </w:r>
            </w:hyperlink>
            <w:r w:rsidDel="00000000" w:rsidR="00000000" w:rsidRPr="00000000">
              <w:rPr>
                <w:rFonts w:ascii="Arial" w:cs="Arial" w:eastAsia="Arial" w:hAnsi="Arial"/>
                <w:color w:val="000000"/>
                <w:sz w:val="24"/>
                <w:szCs w:val="24"/>
                <w:rtl w:val="0"/>
              </w:rPr>
              <w:t xml:space="preserve">.</w:t>
            </w:r>
          </w:p>
        </w:tc>
      </w:tr>
    </w:tbl>
    <w:p w:rsidR="00000000" w:rsidDel="00000000" w:rsidP="00000000" w:rsidRDefault="00000000" w:rsidRPr="00000000" w14:paraId="00000023">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Warranties and duty to notify</w:t>
      </w:r>
    </w:p>
    <w:p w:rsidR="00000000" w:rsidDel="00000000" w:rsidP="00000000" w:rsidRDefault="00000000" w:rsidRPr="00000000" w14:paraId="0000002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entity in the FDE Group with the Rating Agencies;</w:t>
      </w:r>
    </w:p>
    <w:p w:rsidR="00000000" w:rsidDel="00000000" w:rsidP="00000000" w:rsidRDefault="00000000" w:rsidRPr="00000000" w14:paraId="0000002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report submitted by the Supplier pursuant to paragraph 2.3.2 shall:</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 single report with separate sections for each of the FDE Group entities;</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key financial and other supporting information (including any accounts data that has been relied on) as separate annexes;</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3">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Financial Distress events</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shall be Financial Distress Events:</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an FDE Group entity dropping below the applicable Credit Rating Threshold;</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committing a material breach of covenant to its lenders;</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03B">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3C">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an FDE Group entity of any financial indebtedness;</w:t>
      </w:r>
    </w:p>
    <w:p w:rsidR="00000000" w:rsidDel="00000000" w:rsidP="00000000" w:rsidRDefault="00000000" w:rsidRPr="00000000" w14:paraId="0000003D">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an FDE Group entity becoming due as a result of an event of default;</w:t>
      </w:r>
    </w:p>
    <w:p w:rsidR="00000000" w:rsidDel="00000000" w:rsidP="00000000" w:rsidRDefault="00000000" w:rsidRPr="00000000" w14:paraId="0000003E">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an FDE Group entity; or</w:t>
      </w:r>
    </w:p>
    <w:p w:rsidR="00000000" w:rsidDel="00000000" w:rsidP="00000000" w:rsidRDefault="00000000" w:rsidRPr="00000000" w14:paraId="0000003F">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985"/>
        </w:tabs>
        <w:spacing w:after="120" w:before="120" w:lineRule="auto"/>
        <w:ind w:left="246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b w:val="1"/>
          <w:bCs w:val="1"/>
          <w:color w:val="000000"/>
        </w:rPr>
      </w:pPr>
      <w:r w:rsidDel="00000000" w:rsidR="00000000" w:rsidRPr="00000000">
        <w:rPr>
          <w:rFonts w:ascii="Arial" w:cs="Arial" w:eastAsia="Arial" w:hAnsi="Arial"/>
          <w:color w:val="000000"/>
          <w:sz w:val="24"/>
          <w:szCs w:val="24"/>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2">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Consequences of Financial Distress Events</w:t>
      </w:r>
      <w:r w:rsidDel="00000000" w:rsidR="00000000" w:rsidRPr="00000000">
        <w:rPr>
          <w:rtl w:val="0"/>
        </w:rPr>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w:t>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Monitored Supplier, the Guarantor and/or any relevant Key Sub-contractor shall):</w:t>
      </w:r>
    </w:p>
    <w:p w:rsidR="00000000" w:rsidDel="00000000" w:rsidP="00000000" w:rsidRDefault="00000000" w:rsidRPr="00000000" w14:paraId="0000004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A">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B">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approval of the Financial Distress Remediation Plan by the Relevant Authority, the Supplier shall:</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a regular basis (which shall not be less than fortnightly):</w:t>
      </w:r>
    </w:p>
    <w:p w:rsidR="00000000" w:rsidDel="00000000" w:rsidP="00000000" w:rsidRDefault="00000000" w:rsidRPr="00000000" w14:paraId="00000050">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A">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Financial Indicators</w:t>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134"/>
        </w:tabs>
        <w:spacing w:after="120" w:before="120" w:lineRule="auto"/>
        <w:jc w:val="left"/>
        <w:rPr>
          <w:highlight w:val="white"/>
        </w:rPr>
      </w:pPr>
      <w:r w:rsidDel="00000000" w:rsidR="00000000" w:rsidRPr="00000000">
        <w:rPr>
          <w:rFonts w:ascii="Arial" w:cs="Arial" w:eastAsia="Arial" w:hAnsi="Arial"/>
          <w:sz w:val="24"/>
          <w:szCs w:val="24"/>
          <w:highlight w:val="white"/>
          <w:rtl w:val="0"/>
        </w:rPr>
        <w:t xml:space="preserve">5.1 </w:t>
      </w:r>
      <w:r w:rsidDel="00000000" w:rsidR="00000000" w:rsidRPr="00000000">
        <w:rPr>
          <w:rFonts w:ascii="Arial" w:cs="Arial" w:eastAsia="Arial" w:hAnsi="Arial"/>
          <w:color w:val="000000"/>
          <w:sz w:val="24"/>
          <w:szCs w:val="24"/>
          <w:highlight w:val="whit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r w:rsidDel="00000000" w:rsidR="00000000" w:rsidRPr="00000000">
        <w:rPr>
          <w:rtl w:val="0"/>
        </w:rPr>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bCs w:val="1"/>
                <w:color w:val="000000"/>
                <w:sz w:val="24"/>
                <w:szCs w:val="24"/>
                <w:highlight w:val="white"/>
              </w:rPr>
            </w:pPr>
            <w:r w:rsidDel="00000000" w:rsidR="00000000" w:rsidRPr="00000000">
              <w:rPr>
                <w:rFonts w:ascii="Arial" w:cs="Arial" w:eastAsia="Arial" w:hAnsi="Arial"/>
                <w:b w:val="1"/>
                <w:bCs w:val="1"/>
                <w:color w:val="000000"/>
                <w:sz w:val="24"/>
                <w:szCs w:val="24"/>
                <w:highlight w:val="white"/>
                <w:rtl w:val="0"/>
              </w:rPr>
              <w:t xml:space="preserve">Financial Indicator</w:t>
            </w:r>
          </w:p>
        </w:tc>
        <w:tc>
          <w:tcPr>
            <w:shd w:fill="d9d9d9" w:val="cle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bCs w:val="1"/>
                <w:color w:val="000000"/>
                <w:sz w:val="24"/>
                <w:szCs w:val="24"/>
                <w:highlight w:val="white"/>
              </w:rPr>
            </w:pPr>
            <w:r w:rsidDel="00000000" w:rsidR="00000000" w:rsidRPr="00000000">
              <w:rPr>
                <w:rFonts w:ascii="Arial" w:cs="Arial" w:eastAsia="Arial" w:hAnsi="Arial"/>
                <w:b w:val="1"/>
                <w:bCs w:val="1"/>
                <w:color w:val="000000"/>
                <w:sz w:val="24"/>
                <w:szCs w:val="24"/>
                <w:highlight w:val="white"/>
                <w:rtl w:val="0"/>
              </w:rPr>
              <w:t xml:space="preserve">Calculation</w:t>
            </w:r>
            <w:r w:rsidDel="00000000" w:rsidR="00000000" w:rsidRPr="00000000">
              <w:rPr>
                <w:rFonts w:ascii="Arial" w:cs="Arial" w:eastAsia="Arial" w:hAnsi="Arial"/>
                <w:b w:val="1"/>
                <w:bCs w:val="1"/>
                <w:color w:val="000000"/>
                <w:sz w:val="24"/>
                <w:szCs w:val="24"/>
                <w:highlight w:val="white"/>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bCs w:val="1"/>
                <w:color w:val="000000"/>
                <w:sz w:val="24"/>
                <w:szCs w:val="24"/>
                <w:highlight w:val="white"/>
              </w:rPr>
            </w:pPr>
            <w:r w:rsidDel="00000000" w:rsidR="00000000" w:rsidRPr="00000000">
              <w:rPr>
                <w:rFonts w:ascii="Arial" w:cs="Arial" w:eastAsia="Arial" w:hAnsi="Arial"/>
                <w:b w:val="1"/>
                <w:bCs w:val="1"/>
                <w:color w:val="000000"/>
                <w:sz w:val="24"/>
                <w:szCs w:val="24"/>
                <w:highlight w:val="white"/>
                <w:rtl w:val="0"/>
              </w:rPr>
              <w:t xml:space="preserve">Financial Target Threshold:</w:t>
            </w:r>
          </w:p>
        </w:tc>
        <w:tc>
          <w:tcPr>
            <w:shd w:fill="d9d9d9" w:val="cle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bCs w:val="1"/>
                <w:color w:val="000000"/>
                <w:sz w:val="24"/>
                <w:szCs w:val="24"/>
                <w:highlight w:val="white"/>
              </w:rPr>
            </w:pPr>
            <w:bookmarkStart w:colFirst="0" w:colLast="0" w:name="_heading=h.3dy6vkm" w:id="0"/>
            <w:bookmarkEnd w:id="0"/>
            <w:r w:rsidDel="00000000" w:rsidR="00000000" w:rsidRPr="00000000">
              <w:rPr>
                <w:rFonts w:ascii="Arial" w:cs="Arial" w:eastAsia="Arial" w:hAnsi="Arial"/>
                <w:b w:val="1"/>
                <w:bCs w:val="1"/>
                <w:color w:val="000000"/>
                <w:sz w:val="24"/>
                <w:szCs w:val="24"/>
                <w:highlight w:val="white"/>
                <w:rtl w:val="0"/>
              </w:rPr>
              <w:t xml:space="preserve">Monitoring and Reporting Frequency </w:t>
            </w:r>
          </w:p>
        </w:tc>
      </w:tr>
      <w:tr>
        <w:trPr>
          <w:cantSplit w:val="0"/>
          <w:tblHeader w:val="0"/>
        </w:trPr>
        <w:tc>
          <w:tcP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color w:val="000000"/>
                <w:sz w:val="24"/>
                <w:szCs w:val="24"/>
                <w:highlight w:val="white"/>
              </w:rPr>
            </w:pPr>
            <w:r w:rsidDel="00000000" w:rsidR="00000000" w:rsidRPr="00000000">
              <w:rPr>
                <w:rFonts w:ascii="Arial" w:cs="Arial" w:eastAsia="Arial" w:hAnsi="Arial"/>
                <w:b w:val="1"/>
                <w:bCs w:val="1"/>
                <w:color w:val="000000"/>
                <w:sz w:val="24"/>
                <w:szCs w:val="24"/>
                <w:highlight w:val="white"/>
                <w:rtl w:val="0"/>
              </w:rPr>
              <w:t xml:space="preserve">1</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color w:val="000000"/>
                <w:sz w:val="24"/>
                <w:szCs w:val="24"/>
                <w:highlight w:val="white"/>
              </w:rPr>
            </w:pPr>
            <w:r w:rsidDel="00000000" w:rsidR="00000000" w:rsidRPr="00000000">
              <w:rPr>
                <w:rFonts w:ascii="Arial" w:cs="Arial" w:eastAsia="Arial" w:hAnsi="Arial"/>
                <w:b w:val="1"/>
                <w:bCs w:val="1"/>
                <w:color w:val="000000"/>
                <w:sz w:val="24"/>
                <w:szCs w:val="24"/>
                <w:highlight w:val="white"/>
                <w:rtl w:val="0"/>
              </w:rPr>
              <w:t xml:space="preserve">Turnover ratio</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color w:val="000000"/>
                <w:sz w:val="24"/>
                <w:szCs w:val="24"/>
                <w:highlight w:val="white"/>
              </w:rPr>
            </w:pPr>
            <w:r w:rsidDel="00000000" w:rsidR="00000000" w:rsidRPr="00000000">
              <w:rPr>
                <w:rtl w:val="0"/>
              </w:rPr>
            </w:r>
          </w:p>
        </w:tc>
        <w:tc>
          <w:tcP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color w:val="000000"/>
                <w:sz w:val="24"/>
                <w:szCs w:val="24"/>
                <w:highlight w:val="white"/>
              </w:rPr>
            </w:pPr>
            <w:r w:rsidDel="00000000" w:rsidR="00000000" w:rsidRPr="00000000">
              <w:rPr>
                <w:highlight w:val="white"/>
                <w:rtl w:val="0"/>
              </w:rPr>
              <w:t xml:space="preserve">     </w:t>
            </w:r>
            <w:r w:rsidDel="00000000" w:rsidR="00000000" w:rsidRPr="00000000">
              <w:rPr>
                <w:rFonts w:ascii="Arial" w:cs="Arial" w:eastAsia="Arial" w:hAnsi="Arial"/>
                <w:i w:val="1"/>
                <w:iCs w:val="1"/>
                <w:color w:val="000000"/>
                <w:sz w:val="24"/>
                <w:szCs w:val="24"/>
                <w:highlight w:val="white"/>
                <w:rtl w:val="0"/>
              </w:rPr>
              <w:t xml:space="preserve">Turnover Ratio = Total Income/Annual Contract Value</w:t>
            </w:r>
            <w:r w:rsidDel="00000000" w:rsidR="00000000" w:rsidRPr="00000000">
              <w:rPr>
                <w:highlight w:val="white"/>
                <w:rtl w:val="0"/>
              </w:rPr>
              <w:t xml:space="preserve">     </w:t>
            </w:r>
            <w:r w:rsidDel="00000000" w:rsidR="00000000" w:rsidRPr="00000000">
              <w:rPr>
                <w:rtl w:val="0"/>
              </w:rPr>
            </w:r>
          </w:p>
        </w:tc>
        <w:tc>
          <w:tcP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color w:val="000000"/>
                <w:sz w:val="24"/>
                <w:szCs w:val="24"/>
                <w:highlight w:val="white"/>
              </w:rPr>
            </w:pPr>
            <w:r w:rsidDel="00000000" w:rsidR="00000000" w:rsidRPr="00000000">
              <w:rPr>
                <w:highlight w:val="white"/>
                <w:rtl w:val="0"/>
              </w:rPr>
              <w:t xml:space="preserve">     </w:t>
            </w:r>
            <w:r w:rsidDel="00000000" w:rsidR="00000000" w:rsidRPr="00000000">
              <w:rPr>
                <w:rFonts w:ascii="Arial" w:cs="Arial" w:eastAsia="Arial" w:hAnsi="Arial"/>
                <w:i w:val="1"/>
                <w:iCs w:val="1"/>
                <w:color w:val="000000"/>
                <w:sz w:val="24"/>
                <w:szCs w:val="24"/>
                <w:highlight w:val="white"/>
                <w:rtl w:val="0"/>
              </w:rPr>
              <w:t xml:space="preserve">&gt; </w:t>
            </w:r>
            <w:r w:rsidDel="00000000" w:rsidR="00000000" w:rsidRPr="00000000">
              <w:rPr>
                <w:highlight w:val="white"/>
                <w:rtl w:val="0"/>
              </w:rPr>
              <w:t xml:space="preserve">     </w:t>
            </w:r>
            <w:r w:rsidDel="00000000" w:rsidR="00000000" w:rsidRPr="00000000">
              <w:rPr>
                <w:rFonts w:ascii="Arial" w:cs="Arial" w:eastAsia="Arial" w:hAnsi="Arial"/>
                <w:i w:val="1"/>
                <w:iCs w:val="1"/>
                <w:color w:val="000000"/>
                <w:sz w:val="24"/>
                <w:szCs w:val="24"/>
                <w:highlight w:val="white"/>
                <w:rtl w:val="0"/>
              </w:rPr>
              <w:t xml:space="preserve">3</w:t>
            </w:r>
            <w:r w:rsidDel="00000000" w:rsidR="00000000" w:rsidRPr="00000000">
              <w:rPr>
                <w:highlight w:val="white"/>
                <w:rtl w:val="0"/>
              </w:rPr>
              <w:t xml:space="preserve">     </w:t>
            </w:r>
            <w:r w:rsidDel="00000000" w:rsidR="00000000" w:rsidRPr="00000000">
              <w:rPr>
                <w:rFonts w:ascii="Arial" w:cs="Arial" w:eastAsia="Arial" w:hAnsi="Arial"/>
                <w:i w:val="1"/>
                <w:iCs w:val="1"/>
                <w:color w:val="000000"/>
                <w:sz w:val="24"/>
                <w:szCs w:val="24"/>
                <w:highlight w:val="white"/>
                <w:rtl w:val="0"/>
              </w:rPr>
              <w:t xml:space="preserve"> times</w:t>
            </w:r>
          </w:p>
        </w:tc>
        <w:tc>
          <w:tcP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As set out in Paragraph 2.3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color w:val="000000"/>
                <w:sz w:val="24"/>
                <w:szCs w:val="24"/>
                <w:highlight w:val="white"/>
              </w:rPr>
            </w:pPr>
            <w:r w:rsidDel="00000000" w:rsidR="00000000" w:rsidRPr="00000000">
              <w:rPr>
                <w:rFonts w:ascii="Arial" w:cs="Arial" w:eastAsia="Arial" w:hAnsi="Arial"/>
                <w:b w:val="1"/>
                <w:bCs w:val="1"/>
                <w:color w:val="000000"/>
                <w:sz w:val="24"/>
                <w:szCs w:val="24"/>
                <w:highlight w:val="white"/>
                <w:rtl w:val="0"/>
              </w:rPr>
              <w:t xml:space="preserve">2</w:t>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color w:val="000000"/>
                <w:sz w:val="24"/>
                <w:szCs w:val="24"/>
                <w:highlight w:val="white"/>
              </w:rPr>
            </w:pPr>
            <w:r w:rsidDel="00000000" w:rsidR="00000000" w:rsidRPr="00000000">
              <w:rPr>
                <w:highlight w:val="white"/>
                <w:rtl w:val="0"/>
              </w:rPr>
              <w:t xml:space="preserve">     </w:t>
            </w:r>
            <w:r w:rsidDel="00000000" w:rsidR="00000000" w:rsidRPr="00000000">
              <w:rPr>
                <w:rFonts w:ascii="Arial" w:cs="Arial" w:eastAsia="Arial" w:hAnsi="Arial"/>
                <w:b w:val="1"/>
                <w:bCs w:val="1"/>
                <w:color w:val="000000"/>
                <w:sz w:val="24"/>
                <w:szCs w:val="24"/>
                <w:highlight w:val="white"/>
                <w:rtl w:val="0"/>
              </w:rPr>
              <w:t xml:space="preserve">Operating Margin</w:t>
            </w:r>
            <w:r w:rsidDel="00000000" w:rsidR="00000000" w:rsidRPr="00000000">
              <w:rPr>
                <w:highlight w:val="white"/>
                <w:rtl w:val="0"/>
              </w:rPr>
              <w:t xml:space="preserve">     </w:t>
            </w: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color w:val="000000"/>
                <w:sz w:val="24"/>
                <w:szCs w:val="24"/>
                <w:highlight w:val="white"/>
              </w:rPr>
            </w:pPr>
            <w:r w:rsidDel="00000000" w:rsidR="00000000" w:rsidRPr="00000000">
              <w:rPr>
                <w:rtl w:val="0"/>
              </w:rPr>
            </w:r>
          </w:p>
        </w:tc>
        <w:tc>
          <w:tcP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color w:val="000000"/>
                <w:sz w:val="24"/>
                <w:szCs w:val="24"/>
                <w:highlight w:val="white"/>
              </w:rPr>
            </w:pPr>
            <w:r w:rsidDel="00000000" w:rsidR="00000000" w:rsidRPr="00000000">
              <w:rPr>
                <w:highlight w:val="white"/>
                <w:rtl w:val="0"/>
              </w:rPr>
              <w:t xml:space="preserve">     </w:t>
            </w:r>
            <w:r w:rsidDel="00000000" w:rsidR="00000000" w:rsidRPr="00000000">
              <w:rPr>
                <w:rFonts w:ascii="Arial" w:cs="Arial" w:eastAsia="Arial" w:hAnsi="Arial"/>
                <w:i w:val="1"/>
                <w:iCs w:val="1"/>
                <w:color w:val="000000"/>
                <w:sz w:val="24"/>
                <w:szCs w:val="24"/>
                <w:highlight w:val="white"/>
                <w:rtl w:val="0"/>
              </w:rPr>
              <w:t xml:space="preserve">Operating Margin = Operating Profit / Revenue</w:t>
            </w:r>
            <w:r w:rsidDel="00000000" w:rsidR="00000000" w:rsidRPr="00000000">
              <w:rPr>
                <w:highlight w:val="white"/>
                <w:rtl w:val="0"/>
              </w:rPr>
              <w:t xml:space="preserve">     </w:t>
            </w:r>
            <w:r w:rsidDel="00000000" w:rsidR="00000000" w:rsidRPr="00000000">
              <w:rPr>
                <w:rtl w:val="0"/>
              </w:rPr>
            </w:r>
          </w:p>
        </w:tc>
        <w:tc>
          <w:tcP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color w:val="000000"/>
                <w:sz w:val="24"/>
                <w:szCs w:val="24"/>
                <w:highlight w:val="white"/>
              </w:rPr>
            </w:pPr>
            <w:r w:rsidDel="00000000" w:rsidR="00000000" w:rsidRPr="00000000">
              <w:rPr>
                <w:highlight w:val="white"/>
                <w:rtl w:val="0"/>
              </w:rPr>
              <w:t xml:space="preserve">     </w:t>
            </w:r>
            <w:r w:rsidDel="00000000" w:rsidR="00000000" w:rsidRPr="00000000">
              <w:rPr>
                <w:rFonts w:ascii="Arial" w:cs="Arial" w:eastAsia="Arial" w:hAnsi="Arial"/>
                <w:i w:val="1"/>
                <w:iCs w:val="1"/>
                <w:color w:val="000000"/>
                <w:sz w:val="24"/>
                <w:szCs w:val="24"/>
                <w:highlight w:val="white"/>
                <w:rtl w:val="0"/>
              </w:rPr>
              <w:t xml:space="preserve">&gt; </w:t>
            </w:r>
            <w:r w:rsidDel="00000000" w:rsidR="00000000" w:rsidRPr="00000000">
              <w:rPr>
                <w:highlight w:val="white"/>
                <w:rtl w:val="0"/>
              </w:rPr>
              <w:t xml:space="preserve">     </w:t>
            </w:r>
            <w:r w:rsidDel="00000000" w:rsidR="00000000" w:rsidRPr="00000000">
              <w:rPr>
                <w:rFonts w:ascii="Arial" w:cs="Arial" w:eastAsia="Arial" w:hAnsi="Arial"/>
                <w:i w:val="1"/>
                <w:iCs w:val="1"/>
                <w:color w:val="000000"/>
                <w:sz w:val="24"/>
                <w:szCs w:val="24"/>
                <w:highlight w:val="white"/>
                <w:rtl w:val="0"/>
              </w:rPr>
              <w:t xml:space="preserve">4%</w:t>
            </w:r>
            <w:r w:rsidDel="00000000" w:rsidR="00000000" w:rsidRPr="00000000">
              <w:rPr>
                <w:highlight w:val="white"/>
                <w:rtl w:val="0"/>
              </w:rPr>
              <w:t xml:space="preserve">     </w:t>
            </w:r>
            <w:r w:rsidDel="00000000" w:rsidR="00000000" w:rsidRPr="00000000">
              <w:rPr>
                <w:rtl w:val="0"/>
              </w:rPr>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As set out in Paragraph 2.3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3</w:t>
            </w:r>
            <w:r w:rsidDel="00000000" w:rsidR="00000000" w:rsidRPr="00000000">
              <w:rPr>
                <w:rFonts w:ascii="Arial" w:cs="Arial" w:eastAsia="Arial" w:hAnsi="Arial"/>
                <w:b w:val="1"/>
                <w:bCs w:val="1"/>
                <w:color w:val="000000"/>
                <w:sz w:val="24"/>
                <w:szCs w:val="24"/>
                <w:highlight w:val="white"/>
                <w:rtl w:val="0"/>
              </w:rPr>
              <w:t xml:space="preserve">a</w:t>
            </w: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sz w:val="24"/>
                <w:szCs w:val="24"/>
                <w:highlight w:val="white"/>
              </w:rPr>
            </w:pPr>
            <w:r w:rsidDel="00000000" w:rsidR="00000000" w:rsidRPr="00000000">
              <w:rPr>
                <w:highlight w:val="white"/>
                <w:rtl w:val="0"/>
              </w:rPr>
              <w:t xml:space="preserve">     </w:t>
            </w:r>
            <w:r w:rsidDel="00000000" w:rsidR="00000000" w:rsidRPr="00000000">
              <w:rPr>
                <w:rFonts w:ascii="Arial" w:cs="Arial" w:eastAsia="Arial" w:hAnsi="Arial"/>
                <w:b w:val="1"/>
                <w:bCs w:val="1"/>
                <w:sz w:val="24"/>
                <w:szCs w:val="24"/>
                <w:highlight w:val="white"/>
                <w:rtl w:val="0"/>
              </w:rPr>
              <w:t xml:space="preserve">Free Cash Flow to Net Debt Ratio</w:t>
            </w:r>
            <w:r w:rsidDel="00000000" w:rsidR="00000000" w:rsidRPr="00000000">
              <w:rPr>
                <w:highlight w:val="white"/>
                <w:rtl w:val="0"/>
              </w:rPr>
              <w:t xml:space="preserve">          </w:t>
            </w: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sz w:val="24"/>
                <w:szCs w:val="24"/>
                <w:highlight w:val="white"/>
              </w:rPr>
            </w:pPr>
            <w:r w:rsidDel="00000000" w:rsidR="00000000" w:rsidRPr="00000000">
              <w:rPr>
                <w:highlight w:val="white"/>
                <w:rtl w:val="0"/>
              </w:rPr>
              <w:t xml:space="preserve">          </w:t>
            </w:r>
            <w:r w:rsidDel="00000000" w:rsidR="00000000" w:rsidRPr="00000000">
              <w:rPr>
                <w:rtl w:val="0"/>
              </w:rPr>
            </w:r>
          </w:p>
        </w:tc>
        <w:tc>
          <w:tcP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sz w:val="24"/>
                <w:szCs w:val="24"/>
                <w:highlight w:val="white"/>
              </w:rPr>
            </w:pPr>
            <w:r w:rsidDel="00000000" w:rsidR="00000000" w:rsidRPr="00000000">
              <w:rPr>
                <w:highlight w:val="white"/>
                <w:rtl w:val="0"/>
              </w:rPr>
              <w:t xml:space="preserve">     </w:t>
            </w:r>
            <w:r w:rsidDel="00000000" w:rsidR="00000000" w:rsidRPr="00000000">
              <w:rPr>
                <w:rFonts w:ascii="Arial" w:cs="Arial" w:eastAsia="Arial" w:hAnsi="Arial"/>
                <w:i w:val="1"/>
                <w:iCs w:val="1"/>
                <w:sz w:val="24"/>
                <w:szCs w:val="24"/>
                <w:highlight w:val="white"/>
                <w:rtl w:val="0"/>
              </w:rPr>
              <w:t xml:space="preserve">Free Cash Flow to Net Debt Ratio = Free Cash Flow / Net Debt</w:t>
            </w:r>
            <w:r w:rsidDel="00000000" w:rsidR="00000000" w:rsidRPr="00000000">
              <w:rPr>
                <w:highlight w:val="white"/>
                <w:rtl w:val="0"/>
              </w:rPr>
              <w:t xml:space="preserve">     </w:t>
            </w: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sz w:val="24"/>
                <w:szCs w:val="24"/>
                <w:highlight w:val="white"/>
              </w:rPr>
            </w:pPr>
            <w:r w:rsidDel="00000000" w:rsidR="00000000" w:rsidRPr="00000000">
              <w:rPr>
                <w:highlight w:val="white"/>
                <w:rtl w:val="0"/>
              </w:rPr>
              <w:t xml:space="preserve">               </w:t>
            </w:r>
            <w:r w:rsidDel="00000000" w:rsidR="00000000" w:rsidRPr="00000000">
              <w:rPr>
                <w:rtl w:val="0"/>
              </w:rPr>
            </w:r>
          </w:p>
        </w:tc>
        <w:tc>
          <w:tcP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sz w:val="24"/>
                <w:szCs w:val="24"/>
                <w:highlight w:val="white"/>
              </w:rPr>
            </w:pPr>
            <w:r w:rsidDel="00000000" w:rsidR="00000000" w:rsidRPr="00000000">
              <w:rPr>
                <w:highlight w:val="white"/>
                <w:rtl w:val="0"/>
              </w:rPr>
              <w:t xml:space="preserve">     </w:t>
            </w:r>
            <w:r w:rsidDel="00000000" w:rsidR="00000000" w:rsidRPr="00000000">
              <w:rPr>
                <w:rFonts w:ascii="Arial" w:cs="Arial" w:eastAsia="Arial" w:hAnsi="Arial"/>
                <w:i w:val="1"/>
                <w:iCs w:val="1"/>
                <w:sz w:val="24"/>
                <w:szCs w:val="24"/>
                <w:highlight w:val="white"/>
                <w:rtl w:val="0"/>
              </w:rPr>
              <w:t xml:space="preserve">&gt; </w:t>
            </w:r>
            <w:r w:rsidDel="00000000" w:rsidR="00000000" w:rsidRPr="00000000">
              <w:rPr>
                <w:highlight w:val="white"/>
                <w:rtl w:val="0"/>
              </w:rPr>
              <w:t xml:space="preserve">     </w:t>
            </w:r>
            <w:r w:rsidDel="00000000" w:rsidR="00000000" w:rsidRPr="00000000">
              <w:rPr>
                <w:rFonts w:ascii="Arial" w:cs="Arial" w:eastAsia="Arial" w:hAnsi="Arial"/>
                <w:i w:val="1"/>
                <w:iCs w:val="1"/>
                <w:sz w:val="24"/>
                <w:szCs w:val="24"/>
                <w:highlight w:val="white"/>
                <w:rtl w:val="0"/>
              </w:rPr>
              <w:t xml:space="preserve">10%</w:t>
            </w:r>
            <w:r w:rsidDel="00000000" w:rsidR="00000000" w:rsidRPr="00000000">
              <w:rPr>
                <w:highlight w:val="white"/>
                <w:rtl w:val="0"/>
              </w:rPr>
              <w:t xml:space="preserve">     </w:t>
            </w: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color w:val="000000"/>
                <w:sz w:val="24"/>
                <w:szCs w:val="24"/>
                <w:highlight w:val="white"/>
              </w:rPr>
            </w:pPr>
            <w:r w:rsidDel="00000000" w:rsidR="00000000" w:rsidRPr="00000000">
              <w:rPr>
                <w:highlight w:val="white"/>
                <w:rtl w:val="0"/>
              </w:rPr>
              <w:t xml:space="preserve">          </w:t>
            </w:r>
            <w:r w:rsidDel="00000000" w:rsidR="00000000" w:rsidRPr="00000000">
              <w:rPr>
                <w:rtl w:val="0"/>
              </w:rPr>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As set out in Paragraph 2.3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3b</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sz w:val="24"/>
                <w:szCs w:val="24"/>
                <w:highlight w:val="white"/>
              </w:rPr>
            </w:pPr>
            <w:r w:rsidDel="00000000" w:rsidR="00000000" w:rsidRPr="00000000">
              <w:rPr>
                <w:rFonts w:ascii="Arial" w:cs="Arial" w:eastAsia="Arial" w:hAnsi="Arial"/>
                <w:b w:val="1"/>
                <w:bCs w:val="1"/>
                <w:sz w:val="24"/>
                <w:szCs w:val="24"/>
                <w:highlight w:val="white"/>
                <w:rtl w:val="0"/>
              </w:rPr>
              <w:t xml:space="preserve">Net Debt to EBITDA Ratio</w:t>
            </w:r>
          </w:p>
        </w:tc>
        <w:tc>
          <w:tcP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200" w:before="100" w:lineRule="auto"/>
              <w:jc w:val="center"/>
              <w:rPr>
                <w:highlight w:val="white"/>
              </w:rPr>
            </w:pPr>
            <w:r w:rsidDel="00000000" w:rsidR="00000000" w:rsidRPr="00000000">
              <w:rPr>
                <w:rFonts w:ascii="Arial" w:cs="Arial" w:eastAsia="Arial" w:hAnsi="Arial"/>
                <w:i w:val="1"/>
                <w:iCs w:val="1"/>
                <w:sz w:val="24"/>
                <w:szCs w:val="24"/>
                <w:highlight w:val="white"/>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200" w:before="100" w:lineRule="auto"/>
              <w:jc w:val="center"/>
              <w:rPr>
                <w:highlight w:val="white"/>
              </w:rPr>
            </w:pPr>
            <w:r w:rsidDel="00000000" w:rsidR="00000000" w:rsidRPr="00000000">
              <w:rPr>
                <w:rFonts w:ascii="Arial" w:cs="Arial" w:eastAsia="Arial" w:hAnsi="Arial"/>
                <w:i w:val="1"/>
                <w:iCs w:val="1"/>
                <w:sz w:val="24"/>
                <w:szCs w:val="24"/>
                <w:highlight w:val="white"/>
                <w:rtl w:val="0"/>
              </w:rPr>
              <w:t xml:space="preserve">&lt; 2.5 times</w:t>
            </w:r>
            <w:r w:rsidDel="00000000" w:rsidR="00000000" w:rsidRPr="00000000">
              <w:rPr>
                <w:rtl w:val="0"/>
              </w:rPr>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200" w:before="100" w:lineRule="auto"/>
              <w:jc w:val="center"/>
              <w:rPr>
                <w:highlight w:val="white"/>
              </w:rPr>
            </w:pPr>
            <w:r w:rsidDel="00000000" w:rsidR="00000000" w:rsidRPr="00000000">
              <w:rPr>
                <w:rFonts w:ascii="Arial" w:cs="Arial" w:eastAsia="Arial" w:hAnsi="Arial"/>
                <w:color w:val="000000"/>
                <w:sz w:val="24"/>
                <w:szCs w:val="24"/>
                <w:highlight w:val="white"/>
                <w:rtl w:val="0"/>
              </w:rPr>
              <w:t xml:space="preserve">As set out in Paragraph 2.3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color w:val="000000"/>
                <w:sz w:val="24"/>
                <w:szCs w:val="24"/>
                <w:highlight w:val="white"/>
              </w:rPr>
            </w:pPr>
            <w:r w:rsidDel="00000000" w:rsidR="00000000" w:rsidRPr="00000000">
              <w:rPr>
                <w:rFonts w:ascii="Arial" w:cs="Arial" w:eastAsia="Arial" w:hAnsi="Arial"/>
                <w:b w:val="1"/>
                <w:bCs w:val="1"/>
                <w:color w:val="000000"/>
                <w:sz w:val="24"/>
                <w:szCs w:val="24"/>
                <w:highlight w:val="white"/>
                <w:rtl w:val="0"/>
              </w:rPr>
              <w:t xml:space="preserve">4</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highlight w:val="white"/>
                <w:rtl w:val="0"/>
              </w:rPr>
              <w:t xml:space="preserve">     </w:t>
            </w:r>
            <w:r w:rsidDel="00000000" w:rsidR="00000000" w:rsidRPr="00000000">
              <w:rPr>
                <w:rFonts w:ascii="Arial" w:cs="Arial" w:eastAsia="Arial" w:hAnsi="Arial"/>
                <w:color w:val="000000"/>
                <w:sz w:val="24"/>
                <w:szCs w:val="24"/>
                <w:highlight w:val="white"/>
                <w:rtl w:val="0"/>
              </w:rPr>
              <w:t xml:space="preserve">Net Debt + Net Pension Deficit to EBITDA ratio</w:t>
            </w:r>
            <w:r w:rsidDel="00000000" w:rsidR="00000000" w:rsidRPr="00000000">
              <w:rPr>
                <w:highlight w:val="white"/>
                <w:rtl w:val="0"/>
              </w:rPr>
              <w:t xml:space="preserve">     </w:t>
            </w: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color w:val="000000"/>
                <w:sz w:val="24"/>
                <w:szCs w:val="24"/>
                <w:highlight w:val="white"/>
              </w:rPr>
            </w:pPr>
            <w:r w:rsidDel="00000000" w:rsidR="00000000" w:rsidRPr="00000000">
              <w:rPr>
                <w:rtl w:val="0"/>
              </w:rPr>
            </w:r>
          </w:p>
        </w:tc>
        <w:tc>
          <w:tcP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color w:val="000000"/>
                <w:sz w:val="24"/>
                <w:szCs w:val="24"/>
                <w:highlight w:val="white"/>
              </w:rPr>
            </w:pPr>
            <w:r w:rsidDel="00000000" w:rsidR="00000000" w:rsidRPr="00000000">
              <w:rPr>
                <w:highlight w:val="white"/>
                <w:rtl w:val="0"/>
              </w:rPr>
              <w:t xml:space="preserve">     </w:t>
            </w:r>
            <w:r w:rsidDel="00000000" w:rsidR="00000000" w:rsidRPr="00000000">
              <w:rPr>
                <w:rFonts w:ascii="Arial" w:cs="Arial" w:eastAsia="Arial" w:hAnsi="Arial"/>
                <w:i w:val="1"/>
                <w:iCs w:val="1"/>
                <w:color w:val="000000"/>
                <w:sz w:val="24"/>
                <w:szCs w:val="24"/>
                <w:highlight w:val="white"/>
                <w:rtl w:val="0"/>
              </w:rPr>
              <w:t xml:space="preserve">Net Debt + Net Pension Deficit to EBITDA Ratio = (Net Debt + Net Pension Deficit) / EBITDA</w:t>
            </w:r>
            <w:r w:rsidDel="00000000" w:rsidR="00000000" w:rsidRPr="00000000">
              <w:rPr>
                <w:highlight w:val="white"/>
                <w:rtl w:val="0"/>
              </w:rPr>
              <w:t xml:space="preserve">     </w:t>
            </w:r>
            <w:r w:rsidDel="00000000" w:rsidR="00000000" w:rsidRPr="00000000">
              <w:rPr>
                <w:rtl w:val="0"/>
              </w:rPr>
            </w:r>
          </w:p>
        </w:tc>
        <w:tc>
          <w:tcP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color w:val="000000"/>
                <w:sz w:val="24"/>
                <w:szCs w:val="24"/>
                <w:highlight w:val="white"/>
              </w:rPr>
            </w:pPr>
            <w:r w:rsidDel="00000000" w:rsidR="00000000" w:rsidRPr="00000000">
              <w:rPr>
                <w:highlight w:val="white"/>
                <w:rtl w:val="0"/>
              </w:rPr>
              <w:t xml:space="preserve">     </w:t>
            </w:r>
            <w:r w:rsidDel="00000000" w:rsidR="00000000" w:rsidRPr="00000000">
              <w:rPr>
                <w:rFonts w:ascii="Arial" w:cs="Arial" w:eastAsia="Arial" w:hAnsi="Arial"/>
                <w:i w:val="1"/>
                <w:iCs w:val="1"/>
                <w:color w:val="000000"/>
                <w:sz w:val="24"/>
                <w:szCs w:val="24"/>
                <w:highlight w:val="white"/>
                <w:rtl w:val="0"/>
              </w:rPr>
              <w:t xml:space="preserve">&lt; </w:t>
            </w:r>
            <w:r w:rsidDel="00000000" w:rsidR="00000000" w:rsidRPr="00000000">
              <w:rPr>
                <w:highlight w:val="white"/>
                <w:rtl w:val="0"/>
              </w:rPr>
              <w:t xml:space="preserve">     </w:t>
            </w:r>
            <w:r w:rsidDel="00000000" w:rsidR="00000000" w:rsidRPr="00000000">
              <w:rPr>
                <w:rFonts w:ascii="Arial" w:cs="Arial" w:eastAsia="Arial" w:hAnsi="Arial"/>
                <w:i w:val="1"/>
                <w:iCs w:val="1"/>
                <w:color w:val="000000"/>
                <w:sz w:val="24"/>
                <w:szCs w:val="24"/>
                <w:highlight w:val="white"/>
                <w:rtl w:val="0"/>
              </w:rPr>
              <w:t xml:space="preserve">4</w:t>
            </w:r>
            <w:r w:rsidDel="00000000" w:rsidR="00000000" w:rsidRPr="00000000">
              <w:rPr>
                <w:highlight w:val="white"/>
                <w:rtl w:val="0"/>
              </w:rPr>
              <w:t xml:space="preserve">     </w:t>
            </w:r>
            <w:r w:rsidDel="00000000" w:rsidR="00000000" w:rsidRPr="00000000">
              <w:rPr>
                <w:rFonts w:ascii="Arial" w:cs="Arial" w:eastAsia="Arial" w:hAnsi="Arial"/>
                <w:i w:val="1"/>
                <w:iCs w:val="1"/>
                <w:color w:val="000000"/>
                <w:sz w:val="24"/>
                <w:szCs w:val="24"/>
                <w:highlight w:val="white"/>
                <w:rtl w:val="0"/>
              </w:rPr>
              <w:t xml:space="preserve"> times</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As set out in Paragraph 2.3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color w:val="000000"/>
                <w:sz w:val="24"/>
                <w:szCs w:val="24"/>
                <w:highlight w:val="white"/>
              </w:rPr>
            </w:pPr>
            <w:r w:rsidDel="00000000" w:rsidR="00000000" w:rsidRPr="00000000">
              <w:rPr>
                <w:rFonts w:ascii="Arial" w:cs="Arial" w:eastAsia="Arial" w:hAnsi="Arial"/>
                <w:b w:val="1"/>
                <w:bCs w:val="1"/>
                <w:color w:val="000000"/>
                <w:sz w:val="24"/>
                <w:szCs w:val="24"/>
                <w:highlight w:val="white"/>
                <w:rtl w:val="0"/>
              </w:rPr>
              <w:t xml:space="preserve">5</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color w:val="000000"/>
                <w:sz w:val="24"/>
                <w:szCs w:val="24"/>
                <w:highlight w:val="white"/>
              </w:rPr>
            </w:pPr>
            <w:r w:rsidDel="00000000" w:rsidR="00000000" w:rsidRPr="00000000">
              <w:rPr>
                <w:highlight w:val="white"/>
                <w:rtl w:val="0"/>
              </w:rPr>
              <w:t xml:space="preserve">     </w:t>
            </w:r>
            <w:r w:rsidDel="00000000" w:rsidR="00000000" w:rsidRPr="00000000">
              <w:rPr>
                <w:rFonts w:ascii="Arial" w:cs="Arial" w:eastAsia="Arial" w:hAnsi="Arial"/>
                <w:b w:val="1"/>
                <w:bCs w:val="1"/>
                <w:color w:val="000000"/>
                <w:sz w:val="24"/>
                <w:szCs w:val="24"/>
                <w:highlight w:val="white"/>
                <w:rtl w:val="0"/>
              </w:rPr>
              <w:t xml:space="preserve">Net Interest Paid Cover</w:t>
            </w:r>
            <w:r w:rsidDel="00000000" w:rsidR="00000000" w:rsidRPr="00000000">
              <w:rPr>
                <w:highlight w:val="white"/>
                <w:rtl w:val="0"/>
              </w:rPr>
              <w:t xml:space="preserve">     </w:t>
            </w:r>
            <w:r w:rsidDel="00000000" w:rsidR="00000000" w:rsidRPr="00000000">
              <w:rPr>
                <w:rtl w:val="0"/>
              </w:rPr>
            </w:r>
          </w:p>
        </w:tc>
        <w:tc>
          <w:tcP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color w:val="000000"/>
                <w:sz w:val="24"/>
                <w:szCs w:val="24"/>
                <w:highlight w:val="white"/>
              </w:rPr>
            </w:pPr>
            <w:r w:rsidDel="00000000" w:rsidR="00000000" w:rsidRPr="00000000">
              <w:rPr>
                <w:highlight w:val="white"/>
                <w:rtl w:val="0"/>
              </w:rPr>
              <w:t xml:space="preserve">     </w:t>
            </w:r>
            <w:r w:rsidDel="00000000" w:rsidR="00000000" w:rsidRPr="00000000">
              <w:rPr>
                <w:rFonts w:ascii="Arial" w:cs="Arial" w:eastAsia="Arial" w:hAnsi="Arial"/>
                <w:i w:val="1"/>
                <w:iCs w:val="1"/>
                <w:color w:val="000000"/>
                <w:sz w:val="24"/>
                <w:szCs w:val="24"/>
                <w:highlight w:val="white"/>
                <w:rtl w:val="0"/>
              </w:rPr>
              <w:t xml:space="preserve">Net Interest Paid Cover = Earnings Before Interest and Tax / Net Interest Paid</w:t>
            </w:r>
            <w:r w:rsidDel="00000000" w:rsidR="00000000" w:rsidRPr="00000000">
              <w:rPr>
                <w:highlight w:val="white"/>
                <w:rtl w:val="0"/>
              </w:rPr>
              <w:t xml:space="preserve">     </w:t>
            </w:r>
            <w:r w:rsidDel="00000000" w:rsidR="00000000" w:rsidRPr="00000000">
              <w:rPr>
                <w:rtl w:val="0"/>
              </w:rPr>
            </w:r>
          </w:p>
        </w:tc>
        <w:tc>
          <w:tcP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color w:val="000000"/>
                <w:sz w:val="24"/>
                <w:szCs w:val="24"/>
                <w:highlight w:val="white"/>
              </w:rPr>
            </w:pPr>
            <w:r w:rsidDel="00000000" w:rsidR="00000000" w:rsidRPr="00000000">
              <w:rPr>
                <w:highlight w:val="white"/>
                <w:rtl w:val="0"/>
              </w:rPr>
              <w:t xml:space="preserve">     </w:t>
            </w:r>
            <w:r w:rsidDel="00000000" w:rsidR="00000000" w:rsidRPr="00000000">
              <w:rPr>
                <w:rFonts w:ascii="Arial" w:cs="Arial" w:eastAsia="Arial" w:hAnsi="Arial"/>
                <w:i w:val="1"/>
                <w:iCs w:val="1"/>
                <w:color w:val="000000"/>
                <w:sz w:val="24"/>
                <w:szCs w:val="24"/>
                <w:highlight w:val="white"/>
                <w:rtl w:val="0"/>
              </w:rPr>
              <w:t xml:space="preserve">&gt; </w:t>
            </w:r>
            <w:r w:rsidDel="00000000" w:rsidR="00000000" w:rsidRPr="00000000">
              <w:rPr>
                <w:highlight w:val="white"/>
                <w:rtl w:val="0"/>
              </w:rPr>
              <w:t xml:space="preserve">     </w:t>
            </w:r>
            <w:r w:rsidDel="00000000" w:rsidR="00000000" w:rsidRPr="00000000">
              <w:rPr>
                <w:rFonts w:ascii="Arial" w:cs="Arial" w:eastAsia="Arial" w:hAnsi="Arial"/>
                <w:i w:val="1"/>
                <w:iCs w:val="1"/>
                <w:color w:val="000000"/>
                <w:sz w:val="24"/>
                <w:szCs w:val="24"/>
                <w:highlight w:val="white"/>
                <w:rtl w:val="0"/>
              </w:rPr>
              <w:t xml:space="preserve">4.5</w:t>
            </w:r>
            <w:r w:rsidDel="00000000" w:rsidR="00000000" w:rsidRPr="00000000">
              <w:rPr>
                <w:highlight w:val="white"/>
                <w:rtl w:val="0"/>
              </w:rPr>
              <w:t xml:space="preserve">     </w:t>
            </w:r>
            <w:r w:rsidDel="00000000" w:rsidR="00000000" w:rsidRPr="00000000">
              <w:rPr>
                <w:rFonts w:ascii="Arial" w:cs="Arial" w:eastAsia="Arial" w:hAnsi="Arial"/>
                <w:i w:val="1"/>
                <w:iCs w:val="1"/>
                <w:color w:val="000000"/>
                <w:sz w:val="24"/>
                <w:szCs w:val="24"/>
                <w:highlight w:val="white"/>
                <w:rtl w:val="0"/>
              </w:rPr>
              <w:t xml:space="preserve"> times</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As set out in Paragraph 2.3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color w:val="000000"/>
                <w:sz w:val="24"/>
                <w:szCs w:val="24"/>
                <w:highlight w:val="white"/>
              </w:rPr>
            </w:pPr>
            <w:r w:rsidDel="00000000" w:rsidR="00000000" w:rsidRPr="00000000">
              <w:rPr>
                <w:rFonts w:ascii="Arial" w:cs="Arial" w:eastAsia="Arial" w:hAnsi="Arial"/>
                <w:b w:val="1"/>
                <w:bCs w:val="1"/>
                <w:color w:val="000000"/>
                <w:sz w:val="24"/>
                <w:szCs w:val="24"/>
                <w:highlight w:val="white"/>
                <w:rtl w:val="0"/>
              </w:rPr>
              <w:t xml:space="preserve">6</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highlight w:val="white"/>
                <w:rtl w:val="0"/>
              </w:rPr>
              <w:t xml:space="preserve">     </w:t>
            </w:r>
            <w:r w:rsidDel="00000000" w:rsidR="00000000" w:rsidRPr="00000000">
              <w:rPr>
                <w:rFonts w:ascii="Arial" w:cs="Arial" w:eastAsia="Arial" w:hAnsi="Arial"/>
                <w:color w:val="000000"/>
                <w:sz w:val="24"/>
                <w:szCs w:val="24"/>
                <w:highlight w:val="white"/>
                <w:rtl w:val="0"/>
              </w:rPr>
              <w:t xml:space="preserve">Acid Ratio</w:t>
            </w:r>
            <w:r w:rsidDel="00000000" w:rsidR="00000000" w:rsidRPr="00000000">
              <w:rPr>
                <w:highlight w:val="white"/>
                <w:rtl w:val="0"/>
              </w:rPr>
              <w:t xml:space="preserve">     </w:t>
            </w: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color w:val="000000"/>
                <w:sz w:val="24"/>
                <w:szCs w:val="24"/>
                <w:highlight w:val="white"/>
              </w:rPr>
            </w:pPr>
            <w:r w:rsidDel="00000000" w:rsidR="00000000" w:rsidRPr="00000000">
              <w:rPr>
                <w:rtl w:val="0"/>
              </w:rPr>
            </w:r>
          </w:p>
        </w:tc>
        <w:tc>
          <w:tcPr>
            <w:vAlign w:val="cente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color w:val="000000"/>
                <w:sz w:val="24"/>
                <w:szCs w:val="24"/>
                <w:highlight w:val="white"/>
              </w:rPr>
            </w:pPr>
            <w:r w:rsidDel="00000000" w:rsidR="00000000" w:rsidRPr="00000000">
              <w:rPr>
                <w:highlight w:val="white"/>
                <w:rtl w:val="0"/>
              </w:rPr>
              <w:t xml:space="preserve">     </w:t>
            </w:r>
            <w:r w:rsidDel="00000000" w:rsidR="00000000" w:rsidRPr="00000000">
              <w:rPr>
                <w:rFonts w:ascii="Arial" w:cs="Arial" w:eastAsia="Arial" w:hAnsi="Arial"/>
                <w:i w:val="1"/>
                <w:iCs w:val="1"/>
                <w:color w:val="000000"/>
                <w:sz w:val="24"/>
                <w:szCs w:val="24"/>
                <w:highlight w:val="white"/>
                <w:rtl w:val="0"/>
              </w:rPr>
              <w:t xml:space="preserve">Acid Ratio = (Current Assets – Inventories) / Current Liabilities</w:t>
            </w:r>
            <w:r w:rsidDel="00000000" w:rsidR="00000000" w:rsidRPr="00000000">
              <w:rPr>
                <w:highlight w:val="white"/>
                <w:rtl w:val="0"/>
              </w:rPr>
              <w:t xml:space="preserve">     </w:t>
            </w:r>
            <w:r w:rsidDel="00000000" w:rsidR="00000000" w:rsidRPr="00000000">
              <w:rPr>
                <w:rtl w:val="0"/>
              </w:rPr>
            </w:r>
          </w:p>
        </w:tc>
        <w:tc>
          <w:tcPr>
            <w:vAlign w:val="center"/>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color w:val="000000"/>
                <w:sz w:val="24"/>
                <w:szCs w:val="24"/>
                <w:highlight w:val="white"/>
              </w:rPr>
            </w:pPr>
            <w:r w:rsidDel="00000000" w:rsidR="00000000" w:rsidRPr="00000000">
              <w:rPr>
                <w:highlight w:val="white"/>
                <w:rtl w:val="0"/>
              </w:rPr>
              <w:t xml:space="preserve">     </w:t>
            </w:r>
            <w:r w:rsidDel="00000000" w:rsidR="00000000" w:rsidRPr="00000000">
              <w:rPr>
                <w:rFonts w:ascii="Arial" w:cs="Arial" w:eastAsia="Arial" w:hAnsi="Arial"/>
                <w:i w:val="1"/>
                <w:iCs w:val="1"/>
                <w:color w:val="000000"/>
                <w:sz w:val="24"/>
                <w:szCs w:val="24"/>
                <w:highlight w:val="white"/>
                <w:rtl w:val="0"/>
              </w:rPr>
              <w:t xml:space="preserve">&gt; 1 times</w:t>
            </w:r>
            <w:r w:rsidDel="00000000" w:rsidR="00000000" w:rsidRPr="00000000">
              <w:rPr>
                <w:highlight w:val="white"/>
                <w:rtl w:val="0"/>
              </w:rPr>
              <w:t xml:space="preserve">     </w:t>
            </w:r>
            <w:r w:rsidDel="00000000" w:rsidR="00000000" w:rsidRPr="00000000">
              <w:rPr>
                <w:rtl w:val="0"/>
              </w:rPr>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As set out in Paragraph 2.3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color w:val="000000"/>
                <w:sz w:val="24"/>
                <w:szCs w:val="24"/>
                <w:highlight w:val="white"/>
              </w:rPr>
            </w:pPr>
            <w:r w:rsidDel="00000000" w:rsidR="00000000" w:rsidRPr="00000000">
              <w:rPr>
                <w:rFonts w:ascii="Arial" w:cs="Arial" w:eastAsia="Arial" w:hAnsi="Arial"/>
                <w:b w:val="1"/>
                <w:bCs w:val="1"/>
                <w:color w:val="000000"/>
                <w:sz w:val="24"/>
                <w:szCs w:val="24"/>
                <w:highlight w:val="white"/>
                <w:rtl w:val="0"/>
              </w:rPr>
              <w:t xml:space="preserve">7</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white"/>
              </w:rPr>
            </w:pPr>
            <w:r w:rsidDel="00000000" w:rsidR="00000000" w:rsidRPr="00000000">
              <w:rPr>
                <w:highlight w:val="white"/>
                <w:rtl w:val="0"/>
              </w:rPr>
              <w:t xml:space="preserve">     </w:t>
            </w:r>
            <w:r w:rsidDel="00000000" w:rsidR="00000000" w:rsidRPr="00000000">
              <w:rPr>
                <w:rFonts w:ascii="Arial" w:cs="Arial" w:eastAsia="Arial" w:hAnsi="Arial"/>
                <w:color w:val="000000"/>
                <w:sz w:val="24"/>
                <w:szCs w:val="24"/>
                <w:highlight w:val="white"/>
                <w:rtl w:val="0"/>
              </w:rPr>
              <w:t xml:space="preserve">Net Asset value</w:t>
            </w:r>
            <w:r w:rsidDel="00000000" w:rsidR="00000000" w:rsidRPr="00000000">
              <w:rPr>
                <w:highlight w:val="white"/>
                <w:rtl w:val="0"/>
              </w:rPr>
              <w:t xml:space="preserve">     </w:t>
            </w: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color w:val="000000"/>
                <w:sz w:val="24"/>
                <w:szCs w:val="24"/>
                <w:highlight w:val="white"/>
              </w:rPr>
            </w:pPr>
            <w:r w:rsidDel="00000000" w:rsidR="00000000" w:rsidRPr="00000000">
              <w:rPr>
                <w:rtl w:val="0"/>
              </w:rPr>
            </w:r>
          </w:p>
        </w:tc>
        <w:tc>
          <w:tcPr>
            <w:vAlign w:val="center"/>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color w:val="000000"/>
                <w:sz w:val="24"/>
                <w:szCs w:val="24"/>
                <w:highlight w:val="white"/>
              </w:rPr>
            </w:pPr>
            <w:r w:rsidDel="00000000" w:rsidR="00000000" w:rsidRPr="00000000">
              <w:rPr>
                <w:highlight w:val="white"/>
                <w:rtl w:val="0"/>
              </w:rPr>
              <w:t xml:space="preserve">     </w:t>
            </w:r>
            <w:r w:rsidDel="00000000" w:rsidR="00000000" w:rsidRPr="00000000">
              <w:rPr>
                <w:rFonts w:ascii="Arial" w:cs="Arial" w:eastAsia="Arial" w:hAnsi="Arial"/>
                <w:i w:val="1"/>
                <w:iCs w:val="1"/>
                <w:color w:val="000000"/>
                <w:sz w:val="24"/>
                <w:szCs w:val="24"/>
                <w:highlight w:val="white"/>
                <w:rtl w:val="0"/>
              </w:rPr>
              <w:t xml:space="preserve">Net Asset Value = Net Asset</w:t>
            </w:r>
            <w:r w:rsidDel="00000000" w:rsidR="00000000" w:rsidRPr="00000000">
              <w:rPr>
                <w:highlight w:val="white"/>
                <w:rtl w:val="0"/>
              </w:rPr>
              <w:t xml:space="preserve">     </w:t>
            </w:r>
            <w:r w:rsidDel="00000000" w:rsidR="00000000" w:rsidRPr="00000000">
              <w:rPr>
                <w:rtl w:val="0"/>
              </w:rPr>
            </w:r>
          </w:p>
        </w:tc>
        <w:tc>
          <w:tcPr>
            <w:vAlign w:val="center"/>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color w:val="000000"/>
                <w:sz w:val="24"/>
                <w:szCs w:val="24"/>
                <w:highlight w:val="white"/>
              </w:rPr>
            </w:pPr>
            <w:r w:rsidDel="00000000" w:rsidR="00000000" w:rsidRPr="00000000">
              <w:rPr>
                <w:highlight w:val="white"/>
                <w:rtl w:val="0"/>
              </w:rPr>
              <w:t xml:space="preserve">     </w:t>
            </w:r>
            <w:r w:rsidDel="00000000" w:rsidR="00000000" w:rsidRPr="00000000">
              <w:rPr>
                <w:rFonts w:ascii="Arial" w:cs="Arial" w:eastAsia="Arial" w:hAnsi="Arial"/>
                <w:i w:val="1"/>
                <w:iCs w:val="1"/>
                <w:color w:val="000000"/>
                <w:sz w:val="24"/>
                <w:szCs w:val="24"/>
                <w:highlight w:val="white"/>
                <w:rtl w:val="0"/>
              </w:rPr>
              <w:t xml:space="preserve">&gt; £0</w:t>
            </w:r>
            <w:r w:rsidDel="00000000" w:rsidR="00000000" w:rsidRPr="00000000">
              <w:rPr>
                <w:highlight w:val="white"/>
                <w:rtl w:val="0"/>
              </w:rPr>
              <w:t xml:space="preserve">     </w:t>
            </w:r>
            <w:r w:rsidDel="00000000" w:rsidR="00000000" w:rsidRPr="00000000">
              <w:rPr>
                <w:rtl w:val="0"/>
              </w:rPr>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As set out in Paragraph 2.3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color w:val="000000"/>
                <w:sz w:val="24"/>
                <w:szCs w:val="24"/>
                <w:highlight w:val="white"/>
              </w:rPr>
            </w:pPr>
            <w:r w:rsidDel="00000000" w:rsidR="00000000" w:rsidRPr="00000000">
              <w:rPr>
                <w:rFonts w:ascii="Arial" w:cs="Arial" w:eastAsia="Arial" w:hAnsi="Arial"/>
                <w:b w:val="1"/>
                <w:bCs w:val="1"/>
                <w:color w:val="000000"/>
                <w:sz w:val="24"/>
                <w:szCs w:val="24"/>
                <w:highlight w:val="white"/>
                <w:rtl w:val="0"/>
              </w:rPr>
              <w:t xml:space="preserve">8</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color w:val="000000"/>
                <w:sz w:val="24"/>
                <w:szCs w:val="24"/>
                <w:highlight w:val="white"/>
              </w:rPr>
            </w:pPr>
            <w:r w:rsidDel="00000000" w:rsidR="00000000" w:rsidRPr="00000000">
              <w:rPr>
                <w:highlight w:val="white"/>
                <w:rtl w:val="0"/>
              </w:rPr>
              <w:t xml:space="preserve">     </w:t>
            </w:r>
            <w:r w:rsidDel="00000000" w:rsidR="00000000" w:rsidRPr="00000000">
              <w:rPr>
                <w:rFonts w:ascii="Arial" w:cs="Arial" w:eastAsia="Arial" w:hAnsi="Arial"/>
                <w:b w:val="1"/>
                <w:bCs w:val="1"/>
                <w:color w:val="000000"/>
                <w:sz w:val="24"/>
                <w:szCs w:val="24"/>
                <w:highlight w:val="white"/>
                <w:rtl w:val="0"/>
              </w:rPr>
              <w:t xml:space="preserve">Group Exposure Ratio</w:t>
            </w:r>
            <w:r w:rsidDel="00000000" w:rsidR="00000000" w:rsidRPr="00000000">
              <w:rPr>
                <w:highlight w:val="white"/>
                <w:rtl w:val="0"/>
              </w:rPr>
              <w:t xml:space="preserve">     </w:t>
            </w:r>
            <w:r w:rsidDel="00000000" w:rsidR="00000000" w:rsidRPr="00000000">
              <w:rPr>
                <w:rtl w:val="0"/>
              </w:rPr>
            </w:r>
          </w:p>
        </w:tc>
        <w:tc>
          <w:tcPr>
            <w:vAlign w:val="center"/>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color w:val="000000"/>
                <w:sz w:val="24"/>
                <w:szCs w:val="24"/>
                <w:highlight w:val="white"/>
              </w:rPr>
            </w:pPr>
            <w:r w:rsidDel="00000000" w:rsidR="00000000" w:rsidRPr="00000000">
              <w:rPr>
                <w:highlight w:val="white"/>
                <w:rtl w:val="0"/>
              </w:rPr>
              <w:t xml:space="preserve">     </w:t>
            </w:r>
            <w:r w:rsidDel="00000000" w:rsidR="00000000" w:rsidRPr="00000000">
              <w:rPr>
                <w:rFonts w:ascii="Arial" w:cs="Arial" w:eastAsia="Arial" w:hAnsi="Arial"/>
                <w:i w:val="1"/>
                <w:iCs w:val="1"/>
                <w:color w:val="000000"/>
                <w:sz w:val="24"/>
                <w:szCs w:val="24"/>
                <w:highlight w:val="white"/>
                <w:rtl w:val="0"/>
              </w:rPr>
              <w:t xml:space="preserve">Group Exposure / Gross Assets</w:t>
            </w:r>
            <w:r w:rsidDel="00000000" w:rsidR="00000000" w:rsidRPr="00000000">
              <w:rPr>
                <w:highlight w:val="white"/>
                <w:rtl w:val="0"/>
              </w:rPr>
              <w:t xml:space="preserve">     </w:t>
            </w:r>
            <w:r w:rsidDel="00000000" w:rsidR="00000000" w:rsidRPr="00000000">
              <w:rPr>
                <w:rtl w:val="0"/>
              </w:rPr>
            </w:r>
          </w:p>
        </w:tc>
        <w:tc>
          <w:tcPr>
            <w:vAlign w:val="center"/>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color w:val="000000"/>
                <w:sz w:val="24"/>
                <w:szCs w:val="24"/>
                <w:highlight w:val="white"/>
              </w:rPr>
            </w:pPr>
            <w:r w:rsidDel="00000000" w:rsidR="00000000" w:rsidRPr="00000000">
              <w:rPr>
                <w:highlight w:val="white"/>
                <w:rtl w:val="0"/>
              </w:rPr>
              <w:t xml:space="preserve">     </w:t>
            </w:r>
            <w:r w:rsidDel="00000000" w:rsidR="00000000" w:rsidRPr="00000000">
              <w:rPr>
                <w:rFonts w:ascii="Arial" w:cs="Arial" w:eastAsia="Arial" w:hAnsi="Arial"/>
                <w:i w:val="1"/>
                <w:iCs w:val="1"/>
                <w:color w:val="000000"/>
                <w:sz w:val="24"/>
                <w:szCs w:val="24"/>
                <w:highlight w:val="white"/>
                <w:rtl w:val="0"/>
              </w:rPr>
              <w:t xml:space="preserve">&lt; </w:t>
            </w:r>
            <w:r w:rsidDel="00000000" w:rsidR="00000000" w:rsidRPr="00000000">
              <w:rPr>
                <w:highlight w:val="white"/>
                <w:rtl w:val="0"/>
              </w:rPr>
              <w:t xml:space="preserve">     </w:t>
            </w:r>
            <w:r w:rsidDel="00000000" w:rsidR="00000000" w:rsidRPr="00000000">
              <w:rPr>
                <w:rFonts w:ascii="Arial" w:cs="Arial" w:eastAsia="Arial" w:hAnsi="Arial"/>
                <w:i w:val="1"/>
                <w:iCs w:val="1"/>
                <w:color w:val="000000"/>
                <w:sz w:val="24"/>
                <w:szCs w:val="24"/>
                <w:highlight w:val="white"/>
                <w:rtl w:val="0"/>
              </w:rPr>
              <w:t xml:space="preserve">25</w:t>
            </w:r>
            <w:r w:rsidDel="00000000" w:rsidR="00000000" w:rsidRPr="00000000">
              <w:rPr>
                <w:highlight w:val="white"/>
                <w:rtl w:val="0"/>
              </w:rPr>
              <w:t xml:space="preserve">     </w:t>
            </w:r>
            <w:r w:rsidDel="00000000" w:rsidR="00000000" w:rsidRPr="00000000">
              <w:rPr>
                <w:rFonts w:ascii="Arial" w:cs="Arial" w:eastAsia="Arial" w:hAnsi="Arial"/>
                <w:i w:val="1"/>
                <w:iCs w:val="1"/>
                <w:color w:val="000000"/>
                <w:sz w:val="24"/>
                <w:szCs w:val="24"/>
                <w:highlight w:val="white"/>
                <w:rtl w:val="0"/>
              </w:rPr>
              <w:t xml:space="preserve">%</w:t>
            </w:r>
          </w:p>
        </w:tc>
        <w:tc>
          <w:tcPr>
            <w:vAlign w:val="center"/>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iCs w:val="1"/>
                <w:color w:val="000000"/>
                <w:sz w:val="24"/>
                <w:szCs w:val="24"/>
                <w:highlight w:val="white"/>
              </w:rPr>
            </w:pPr>
            <w:r w:rsidDel="00000000" w:rsidR="00000000" w:rsidRPr="00000000">
              <w:rPr>
                <w:rFonts w:ascii="Arial" w:cs="Arial" w:eastAsia="Arial" w:hAnsi="Arial"/>
                <w:i w:val="1"/>
                <w:iCs w:val="1"/>
                <w:color w:val="000000"/>
                <w:sz w:val="24"/>
                <w:szCs w:val="24"/>
                <w:highlight w:val="white"/>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color w:val="000000"/>
        </w:rPr>
      </w:pPr>
      <w:r w:rsidDel="00000000" w:rsidR="00000000" w:rsidRPr="00000000">
        <w:rPr>
          <w:rtl w:val="0"/>
        </w:rPr>
      </w:r>
    </w:p>
    <w:p w:rsidR="00000000" w:rsidDel="00000000" w:rsidP="00000000" w:rsidRDefault="00000000" w:rsidRPr="00000000" w14:paraId="00000098">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Termination rights</w:t>
      </w:r>
    </w:p>
    <w:p w:rsidR="00000000" w:rsidDel="00000000" w:rsidP="00000000" w:rsidRDefault="00000000" w:rsidRPr="00000000" w14:paraId="0000009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be entitled to terminate the Contract if:</w:t>
      </w:r>
    </w:p>
    <w:p w:rsidR="00000000" w:rsidDel="00000000" w:rsidP="00000000" w:rsidRDefault="00000000" w:rsidRPr="00000000" w14:paraId="0000009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2.3.3;</w:t>
      </w:r>
    </w:p>
    <w:p w:rsidR="00000000" w:rsidDel="00000000" w:rsidP="00000000" w:rsidRDefault="00000000" w:rsidRPr="00000000" w14:paraId="0000009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9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9E">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Primacy of Credit Ratings</w:t>
      </w:r>
    </w:p>
    <w:p w:rsidR="00000000" w:rsidDel="00000000" w:rsidP="00000000" w:rsidRDefault="00000000" w:rsidRPr="00000000" w14:paraId="0000009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0A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2">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Board confirmation</w:t>
      </w:r>
    </w:p>
    <w:p w:rsidR="00000000" w:rsidDel="00000000" w:rsidP="00000000" w:rsidRDefault="00000000" w:rsidRPr="00000000" w14:paraId="000000A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A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p>
    <w:p w:rsidR="00000000" w:rsidDel="00000000" w:rsidP="00000000" w:rsidRDefault="00000000" w:rsidRPr="00000000" w14:paraId="000000A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A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A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A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Optional Clauses</w:t>
      </w:r>
    </w:p>
    <w:p w:rsidR="00000000" w:rsidDel="00000000" w:rsidP="00000000" w:rsidRDefault="00000000" w:rsidRPr="00000000" w14:paraId="000000A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Buyer’s Call-Off Contract is a Bronze Contract, if specified in the Order Form, the terms at Annex 5 shall apply to the Call-Off Contract in place of the foregoing terms of this Joint Schedule 7. </w:t>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142"/>
        </w:tabs>
        <w:spacing w:before="120" w:lineRule="auto"/>
        <w:ind w:left="360" w:hanging="360"/>
        <w:rPr>
          <w:b w:val="1"/>
          <w:bCs w:val="1"/>
          <w:smallCaps w:val="1"/>
          <w:color w:val="000000"/>
        </w:rPr>
      </w:pPr>
      <w:r w:rsidDel="00000000" w:rsidR="00000000" w:rsidRPr="00000000">
        <w:rPr>
          <w:rtl w:val="0"/>
        </w:rPr>
      </w:r>
    </w:p>
    <w:p w:rsidR="00000000" w:rsidDel="00000000" w:rsidP="00000000" w:rsidRDefault="00000000" w:rsidRPr="00000000" w14:paraId="000000AC">
      <w:pPr>
        <w:spacing w:after="200" w:line="276" w:lineRule="auto"/>
        <w:jc w:val="left"/>
        <w:rPr>
          <w:rFonts w:ascii="Arial" w:cs="Arial" w:eastAsia="Arial" w:hAnsi="Arial"/>
          <w:b w:val="1"/>
          <w:bCs w:val="1"/>
          <w:sz w:val="24"/>
          <w:szCs w:val="24"/>
        </w:rPr>
      </w:pPr>
      <w:r w:rsidDel="00000000" w:rsidR="00000000" w:rsidRPr="00000000">
        <w:br w:type="page"/>
      </w:r>
      <w:r w:rsidDel="00000000" w:rsidR="00000000" w:rsidRPr="00000000">
        <w:rPr>
          <w:rFonts w:ascii="Arial" w:cs="Arial" w:eastAsia="Arial" w:hAnsi="Arial"/>
          <w:b w:val="1"/>
          <w:bCs w:val="1"/>
          <w:sz w:val="24"/>
          <w:szCs w:val="24"/>
          <w:rtl w:val="0"/>
        </w:rPr>
        <w:t xml:space="preserve">Annex 1: Rating Agencies and their standard Rating System</w:t>
      </w:r>
    </w:p>
    <w:p w:rsidR="00000000" w:rsidDel="00000000" w:rsidP="00000000" w:rsidRDefault="00000000" w:rsidRPr="00000000" w14:paraId="000000AD">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Dunn and Bradstreet</w:t>
      </w:r>
    </w:p>
    <w:p w:rsidR="00000000" w:rsidDel="00000000" w:rsidP="00000000" w:rsidRDefault="00000000" w:rsidRPr="00000000" w14:paraId="000000AE">
      <w:pPr>
        <w:spacing w:after="200" w:line="276" w:lineRule="auto"/>
        <w:jc w:val="left"/>
        <w:rPr>
          <w:rFonts w:ascii="Arial" w:cs="Arial" w:eastAsia="Arial" w:hAnsi="Arial"/>
          <w:b w:val="1"/>
          <w:bCs w:val="1"/>
          <w:smallCaps w:val="1"/>
          <w:color w:val="000000"/>
          <w:sz w:val="24"/>
          <w:szCs w:val="24"/>
        </w:rPr>
      </w:pPr>
      <w:bookmarkStart w:colFirst="0" w:colLast="0" w:name="_heading=h.3whwml4" w:id="1"/>
      <w:bookmarkEnd w:id="1"/>
      <w:r w:rsidDel="00000000" w:rsidR="00000000" w:rsidRPr="00000000">
        <w:br w:type="page"/>
      </w:r>
      <w:r w:rsidDel="00000000" w:rsidR="00000000" w:rsidRPr="00000000">
        <w:rPr>
          <w:rFonts w:ascii="Arial" w:cs="Arial" w:eastAsia="Arial" w:hAnsi="Arial"/>
          <w:b w:val="1"/>
          <w:bCs w:val="1"/>
          <w:color w:val="000000"/>
          <w:sz w:val="24"/>
          <w:szCs w:val="24"/>
          <w:rtl w:val="0"/>
        </w:rPr>
        <w:t xml:space="preserve">Annex 2</w:t>
      </w:r>
      <w:r w:rsidDel="00000000" w:rsidR="00000000" w:rsidRPr="00000000">
        <w:rPr>
          <w:rFonts w:ascii="Arial" w:cs="Arial" w:eastAsia="Arial" w:hAnsi="Arial"/>
          <w:b w:val="1"/>
          <w:bCs w:val="1"/>
          <w:smallCaps w:val="1"/>
          <w:color w:val="000000"/>
          <w:sz w:val="24"/>
          <w:szCs w:val="24"/>
          <w:rtl w:val="0"/>
        </w:rPr>
        <w:t xml:space="preserve">: </w:t>
      </w:r>
      <w:r w:rsidDel="00000000" w:rsidR="00000000" w:rsidRPr="00000000">
        <w:rPr>
          <w:rFonts w:ascii="Arial" w:cs="Arial" w:eastAsia="Arial" w:hAnsi="Arial"/>
          <w:b w:val="1"/>
          <w:bCs w:val="1"/>
          <w:color w:val="000000"/>
          <w:sz w:val="24"/>
          <w:szCs w:val="24"/>
          <w:rtl w:val="0"/>
        </w:rPr>
        <w:t xml:space="preserve">Credit Ratings and Credit Rating Thresholds</w:t>
      </w:r>
      <w:r w:rsidDel="00000000" w:rsidR="00000000" w:rsidRPr="00000000">
        <w:rPr>
          <w:rtl w:val="0"/>
        </w:rPr>
      </w:r>
    </w:p>
    <w:tbl>
      <w:tblPr>
        <w:tblStyle w:val="Table3"/>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AF">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B0">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B1">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shd w:fill="ffffff" w:val="clear"/>
          </w:tcPr>
          <w:p w:rsidR="00000000" w:rsidDel="00000000" w:rsidP="00000000" w:rsidRDefault="00000000" w:rsidRPr="00000000" w14:paraId="000000B2">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50</w:t>
            </w:r>
          </w:p>
        </w:tc>
      </w:tr>
    </w:tbl>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4">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Annex 3: Calculation methodology for Financial Indicators</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2bn6wsx" w:id="2"/>
      <w:bookmarkEnd w:id="2"/>
      <w:r w:rsidDel="00000000" w:rsidR="00000000" w:rsidRPr="00000000">
        <w:rPr>
          <w:rFonts w:ascii="Arial" w:cs="Arial" w:eastAsia="Arial" w:hAnsi="Arial"/>
          <w:color w:val="000000"/>
          <w:sz w:val="24"/>
          <w:szCs w:val="24"/>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color w:val="000000"/>
          <w:sz w:val="24"/>
          <w:szCs w:val="24"/>
          <w:u w:val="single"/>
        </w:rPr>
      </w:pPr>
      <w:r w:rsidDel="00000000" w:rsidR="00000000" w:rsidRPr="00000000">
        <w:rPr>
          <w:rFonts w:ascii="Arial" w:cs="Arial" w:eastAsia="Arial" w:hAnsi="Arial"/>
          <w:b w:val="1"/>
          <w:bCs w:val="1"/>
          <w:color w:val="000000"/>
          <w:sz w:val="24"/>
          <w:szCs w:val="24"/>
          <w:u w:val="single"/>
          <w:rtl w:val="0"/>
        </w:rPr>
        <w:t xml:space="preserve">General methodology</w:t>
      </w:r>
    </w:p>
    <w:p w:rsidR="00000000" w:rsidDel="00000000" w:rsidP="00000000" w:rsidRDefault="00000000" w:rsidRPr="00000000" w14:paraId="000000B8">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bCs w:val="1"/>
          <w:i w:val="1"/>
          <w:iCs w:val="1"/>
          <w:color w:val="000000"/>
          <w:sz w:val="24"/>
          <w:szCs w:val="24"/>
          <w:rtl w:val="0"/>
        </w:rPr>
        <w:t xml:space="preserve">Terminology</w:t>
      </w:r>
      <w:r w:rsidDel="00000000" w:rsidR="00000000" w:rsidRPr="00000000">
        <w:rPr>
          <w:rFonts w:ascii="Arial" w:cs="Arial" w:eastAsia="Arial" w:hAnsi="Arial"/>
          <w:color w:val="000000"/>
          <w:sz w:val="24"/>
          <w:szCs w:val="24"/>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B9">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bookmarkStart w:colFirst="0" w:colLast="0" w:name="_heading=h.qsh70q" w:id="3"/>
      <w:bookmarkEnd w:id="3"/>
      <w:r w:rsidDel="00000000" w:rsidR="00000000" w:rsidRPr="00000000">
        <w:rPr>
          <w:rFonts w:ascii="Arial" w:cs="Arial" w:eastAsia="Arial" w:hAnsi="Arial"/>
          <w:b w:val="1"/>
          <w:bCs w:val="1"/>
          <w:i w:val="1"/>
          <w:iCs w:val="1"/>
          <w:color w:val="000000"/>
          <w:sz w:val="24"/>
          <w:szCs w:val="24"/>
          <w:rtl w:val="0"/>
        </w:rPr>
        <w:t xml:space="preserve">Groups</w:t>
      </w:r>
      <w:r w:rsidDel="00000000" w:rsidR="00000000" w:rsidRPr="00000000">
        <w:rPr>
          <w:rFonts w:ascii="Arial" w:cs="Arial" w:eastAsia="Arial" w:hAnsi="Arial"/>
          <w:color w:val="000000"/>
          <w:sz w:val="24"/>
          <w:szCs w:val="24"/>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BA">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bCs w:val="1"/>
          <w:i w:val="1"/>
          <w:iCs w:val="1"/>
          <w:color w:val="000000"/>
          <w:sz w:val="24"/>
          <w:szCs w:val="24"/>
          <w:rtl w:val="0"/>
        </w:rPr>
        <w:t xml:space="preserve">Foreign currency conversion</w:t>
      </w:r>
      <w:r w:rsidDel="00000000" w:rsidR="00000000" w:rsidRPr="00000000">
        <w:rPr>
          <w:rFonts w:ascii="Arial" w:cs="Arial" w:eastAsia="Arial" w:hAnsi="Arial"/>
          <w:color w:val="000000"/>
          <w:sz w:val="24"/>
          <w:szCs w:val="24"/>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BB">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bCs w:val="1"/>
          <w:i w:val="1"/>
          <w:iCs w:val="1"/>
          <w:color w:val="000000"/>
          <w:sz w:val="24"/>
          <w:szCs w:val="24"/>
          <w:rtl w:val="0"/>
        </w:rPr>
        <w:t xml:space="preserve">Treatment of non-underlying items</w:t>
      </w:r>
      <w:r w:rsidDel="00000000" w:rsidR="00000000" w:rsidRPr="00000000">
        <w:rPr>
          <w:rFonts w:ascii="Arial" w:cs="Arial" w:eastAsia="Arial" w:hAnsi="Arial"/>
          <w:color w:val="000000"/>
          <w:sz w:val="24"/>
          <w:szCs w:val="24"/>
          <w:rtl w:val="0"/>
        </w:rPr>
        <w:t xml:space="preserve">: Financial Indicators should be based on the figures in the financial statements before adjusting for non-underlying items.</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b w:val="1"/>
          <w:bCs w:val="1"/>
          <w:color w:val="000000"/>
          <w:sz w:val="24"/>
          <w:szCs w:val="24"/>
          <w:u w:val="single"/>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E">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300" w:before="100" w:lineRule="auto"/>
        <w:jc w:val="left"/>
        <w:rPr>
          <w:rFonts w:ascii="Arial" w:cs="Arial" w:eastAsia="Arial" w:hAnsi="Arial"/>
          <w:b w:val="1"/>
          <w:bCs w:val="1"/>
          <w:smallCaps w:val="1"/>
          <w:color w:val="000000"/>
          <w:sz w:val="24"/>
          <w:szCs w:val="24"/>
        </w:rPr>
      </w:pPr>
      <w:bookmarkStart w:colFirst="0" w:colLast="0" w:name="_heading=h.49x2ik5" w:id="4"/>
      <w:bookmarkEnd w:id="4"/>
      <w:r w:rsidDel="00000000" w:rsidR="00000000" w:rsidRPr="00000000">
        <w:rPr>
          <w:rFonts w:ascii="Arial" w:cs="Arial" w:eastAsia="Arial" w:hAnsi="Arial"/>
          <w:b w:val="1"/>
          <w:bCs w:val="1"/>
          <w:smallCaps w:val="1"/>
          <w:color w:val="000000"/>
          <w:sz w:val="24"/>
          <w:szCs w:val="24"/>
          <w:rtl w:val="0"/>
        </w:rPr>
        <w:t xml:space="preserve">Annex 4: Board Confirmation</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Supplier Name:</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Contract Reference Number:</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bookmarkStart w:colFirst="0" w:colLast="0" w:name="_heading=h.2p2csry" w:id="5"/>
      <w:bookmarkEnd w:id="5"/>
      <w:r w:rsidDel="00000000" w:rsidR="00000000" w:rsidRPr="00000000">
        <w:rPr>
          <w:rFonts w:ascii="Arial" w:cs="Arial" w:eastAsia="Arial" w:hAnsi="Arial"/>
          <w:color w:val="000000"/>
          <w:sz w:val="24"/>
          <w:szCs w:val="24"/>
          <w:rtl w:val="0"/>
        </w:rPr>
        <w:t xml:space="preserve">The Board of Directors acknowledge the requirements set out at paragraph 8 of Joint Schedule 7 (</w:t>
      </w:r>
      <w:r w:rsidDel="00000000" w:rsidR="00000000" w:rsidRPr="00000000">
        <w:rPr>
          <w:rFonts w:ascii="Arial" w:cs="Arial" w:eastAsia="Arial" w:hAnsi="Arial"/>
          <w:i w:val="1"/>
          <w:iCs w:val="1"/>
          <w:color w:val="000000"/>
          <w:sz w:val="24"/>
          <w:szCs w:val="24"/>
          <w:rtl w:val="0"/>
        </w:rPr>
        <w:t xml:space="preserve">Financial Distress</w:t>
      </w:r>
      <w:r w:rsidDel="00000000" w:rsidR="00000000" w:rsidRPr="00000000">
        <w:rPr>
          <w:rFonts w:ascii="Arial" w:cs="Arial" w:eastAsia="Arial" w:hAnsi="Arial"/>
          <w:color w:val="000000"/>
          <w:sz w:val="24"/>
          <w:szCs w:val="24"/>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0C6">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0C7">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behalf of the Board of Directors:</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Chair</w:t>
        <w:tab/>
        <w:tab/>
        <w:t xml:space="preserve">…………………………………</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tab/>
        <w:tab/>
        <w:t xml:space="preserve">…………………………………</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3">
      <w:pPr>
        <w:spacing w:after="200" w:line="276" w:lineRule="auto"/>
        <w:jc w:val="left"/>
        <w:rPr>
          <w:rFonts w:ascii="Arial" w:cs="Arial" w:eastAsia="Arial" w:hAnsi="Arial"/>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D4">
      <w:pPr>
        <w:spacing w:after="200" w:line="276" w:lineRule="auto"/>
        <w:jc w:val="left"/>
        <w:rPr>
          <w:rFonts w:ascii="Arial" w:cs="Arial" w:eastAsia="Arial" w:hAnsi="Arial"/>
          <w:sz w:val="36"/>
          <w:szCs w:val="36"/>
        </w:rPr>
      </w:pPr>
      <w:r w:rsidDel="00000000" w:rsidR="00000000" w:rsidRPr="00000000">
        <w:rPr>
          <w:rtl w:val="0"/>
        </w:rPr>
      </w:r>
    </w:p>
    <w:p w:rsidR="00000000" w:rsidDel="00000000" w:rsidP="00000000" w:rsidRDefault="00000000" w:rsidRPr="00000000" w14:paraId="000000D5">
      <w:pPr>
        <w:spacing w:after="200" w:line="276" w:lineRule="auto"/>
        <w:jc w:val="left"/>
        <w:rPr>
          <w:rFonts w:ascii="Arial" w:cs="Arial" w:eastAsia="Arial" w:hAnsi="Arial"/>
          <w:b w:val="1"/>
          <w:bCs w:val="1"/>
          <w:smallCaps w:val="1"/>
          <w:sz w:val="36"/>
          <w:szCs w:val="36"/>
        </w:rPr>
      </w:pPr>
      <w:r w:rsidDel="00000000" w:rsidR="00000000" w:rsidRPr="00000000">
        <w:rPr>
          <w:rFonts w:ascii="Arial" w:cs="Arial" w:eastAsia="Arial" w:hAnsi="Arial"/>
          <w:b w:val="1"/>
          <w:bCs w:val="1"/>
          <w:smallCaps w:val="1"/>
          <w:sz w:val="36"/>
          <w:szCs w:val="36"/>
          <w:rtl w:val="0"/>
        </w:rPr>
        <w:t xml:space="preserve">ANNEX 5: OPTIONAL CLAUSES FOR BRONZE CONTRACTS</w:t>
      </w:r>
    </w:p>
    <w:p w:rsidR="00000000" w:rsidDel="00000000" w:rsidP="00000000" w:rsidRDefault="00000000" w:rsidRPr="00000000" w14:paraId="000000D6">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Definitions</w:t>
      </w:r>
    </w:p>
    <w:p w:rsidR="00000000" w:rsidDel="00000000" w:rsidP="00000000" w:rsidRDefault="00000000" w:rsidRPr="00000000" w14:paraId="000000D7">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5, the following words shall have the following meanings and they shall supplement Joint Schedule 1 (Definitions):</w:t>
      </w:r>
    </w:p>
    <w:tbl>
      <w:tblPr>
        <w:tblStyle w:val="Table4"/>
        <w:tblW w:w="7560.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"Credit Rating Threshold"</w:t>
            </w:r>
          </w:p>
        </w:tc>
        <w:tc>
          <w:tcPr/>
          <w:p w:rsidR="00000000" w:rsidDel="00000000" w:rsidP="00000000" w:rsidRDefault="00000000" w:rsidRPr="00000000" w14:paraId="000000D9">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"Financial Distress Event"</w:t>
            </w:r>
          </w:p>
        </w:tc>
        <w:tc>
          <w:tcPr/>
          <w:p w:rsidR="00000000" w:rsidDel="00000000" w:rsidP="00000000" w:rsidRDefault="00000000" w:rsidRPr="00000000" w14:paraId="000000DB">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occurrence or one or more of the following events:</w:t>
            </w:r>
          </w:p>
          <w:p w:rsidR="00000000" w:rsidDel="00000000" w:rsidP="00000000" w:rsidRDefault="00000000" w:rsidRPr="00000000" w14:paraId="000000DC">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the Monitored Company dropping below the applicable Credit Rating Threshold;</w:t>
            </w:r>
          </w:p>
          <w:p w:rsidR="00000000" w:rsidDel="00000000" w:rsidP="00000000" w:rsidRDefault="00000000" w:rsidRPr="00000000" w14:paraId="000000DD">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DE">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0DF">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Monitored Company committing a material breach of covenant to its lenders; </w:t>
            </w:r>
          </w:p>
          <w:p w:rsidR="00000000" w:rsidDel="00000000" w:rsidP="00000000" w:rsidRDefault="00000000" w:rsidRPr="00000000" w14:paraId="000000E0">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E1">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0E2">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E3">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the Monitored Company of any financial indebtedness;</w:t>
            </w:r>
          </w:p>
          <w:p w:rsidR="00000000" w:rsidDel="00000000" w:rsidP="00000000" w:rsidRDefault="00000000" w:rsidRPr="00000000" w14:paraId="000000E4">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the Monitored Company becoming due as a result of an event of default; or</w:t>
            </w:r>
          </w:p>
          <w:p w:rsidR="00000000" w:rsidDel="00000000" w:rsidP="00000000" w:rsidRDefault="00000000" w:rsidRPr="00000000" w14:paraId="000000E5">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the Monitored Company</w:t>
            </w:r>
          </w:p>
          <w:p w:rsidR="00000000" w:rsidDel="00000000" w:rsidP="00000000" w:rsidRDefault="00000000" w:rsidRPr="00000000" w14:paraId="000000E6">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"Financial Distress Service Continuity Plan"</w:t>
            </w:r>
          </w:p>
        </w:tc>
        <w:tc>
          <w:tcPr/>
          <w:p w:rsidR="00000000" w:rsidDel="00000000" w:rsidP="00000000" w:rsidRDefault="00000000" w:rsidRPr="00000000" w14:paraId="000000E8">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“Monitored Company”</w:t>
            </w:r>
          </w:p>
        </w:tc>
        <w:tc>
          <w:tcPr/>
          <w:p w:rsidR="00000000" w:rsidDel="00000000" w:rsidP="00000000" w:rsidRDefault="00000000" w:rsidRPr="00000000" w14:paraId="000000EA">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w:t>
            </w:r>
          </w:p>
        </w:tc>
      </w:tr>
      <w:tr>
        <w:trPr>
          <w:cantSplit w:val="0"/>
          <w:tblHeader w:val="0"/>
        </w:trPr>
        <w:tc>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"Rating Agencies"</w:t>
            </w:r>
          </w:p>
        </w:tc>
        <w:tc>
          <w:tcPr/>
          <w:p w:rsidR="00000000" w:rsidDel="00000000" w:rsidP="00000000" w:rsidRDefault="00000000" w:rsidRPr="00000000" w14:paraId="000000EC">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Appendix 1.</w:t>
            </w:r>
          </w:p>
        </w:tc>
      </w:tr>
    </w:tbl>
    <w:p w:rsidR="00000000" w:rsidDel="00000000" w:rsidP="00000000" w:rsidRDefault="00000000" w:rsidRPr="00000000" w14:paraId="000000ED">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bCs w:val="1"/>
          <w:smallCaps w:val="1"/>
          <w:color w:val="000000"/>
          <w:sz w:val="24"/>
          <w:szCs w:val="24"/>
        </w:rPr>
      </w:pPr>
      <w:bookmarkStart w:colFirst="0" w:colLast="0" w:name="_heading=h.147n2zr" w:id="6"/>
      <w:bookmarkEnd w:id="6"/>
      <w:r w:rsidDel="00000000" w:rsidR="00000000" w:rsidRPr="00000000">
        <w:rPr>
          <w:rFonts w:ascii="Arial" w:cs="Arial" w:eastAsia="Arial" w:hAnsi="Arial"/>
          <w:b w:val="1"/>
          <w:bCs w:val="1"/>
          <w:color w:val="000000"/>
          <w:sz w:val="24"/>
          <w:szCs w:val="24"/>
          <w:rtl w:val="0"/>
        </w:rPr>
        <w:t xml:space="preserve">When this Schedule applies</w:t>
      </w:r>
      <w:r w:rsidDel="00000000" w:rsidR="00000000" w:rsidRPr="00000000">
        <w:rPr>
          <w:rtl w:val="0"/>
        </w:rPr>
      </w:r>
    </w:p>
    <w:p w:rsidR="00000000" w:rsidDel="00000000" w:rsidP="00000000" w:rsidRDefault="00000000" w:rsidRPr="00000000" w14:paraId="000000E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0E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terms of this Annex 5 shall survive: </w:t>
      </w:r>
    </w:p>
    <w:p w:rsidR="00000000" w:rsidDel="00000000" w:rsidP="00000000" w:rsidRDefault="00000000" w:rsidRPr="00000000" w14:paraId="000000F0">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F1">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Call-Off Contract until the termination or expiry of the Call-Off Contract.</w:t>
      </w:r>
    </w:p>
    <w:p w:rsidR="00000000" w:rsidDel="00000000" w:rsidP="00000000" w:rsidRDefault="00000000" w:rsidRPr="00000000" w14:paraId="000000F2">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smallCaps w:val="1"/>
          <w:color w:val="000000"/>
          <w:sz w:val="24"/>
          <w:szCs w:val="24"/>
          <w:rtl w:val="0"/>
        </w:rPr>
        <w:t xml:space="preserve">W</w:t>
      </w:r>
      <w:r w:rsidDel="00000000" w:rsidR="00000000" w:rsidRPr="00000000">
        <w:rPr>
          <w:rFonts w:ascii="Arial" w:cs="Arial" w:eastAsia="Arial" w:hAnsi="Arial"/>
          <w:b w:val="1"/>
          <w:bCs w:val="1"/>
          <w:color w:val="000000"/>
          <w:sz w:val="24"/>
          <w:szCs w:val="24"/>
          <w:rtl w:val="0"/>
        </w:rPr>
        <w:t xml:space="preserve">hat happens when your credit rating changes</w:t>
      </w:r>
      <w:r w:rsidDel="00000000" w:rsidR="00000000" w:rsidRPr="00000000">
        <w:rPr>
          <w:rtl w:val="0"/>
        </w:rPr>
      </w:r>
    </w:p>
    <w:p w:rsidR="00000000" w:rsidDel="00000000" w:rsidP="00000000" w:rsidRDefault="00000000" w:rsidRPr="00000000" w14:paraId="000000F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3o7alnk" w:id="7"/>
      <w:bookmarkEnd w:id="7"/>
      <w:r w:rsidDel="00000000" w:rsidR="00000000" w:rsidRPr="00000000">
        <w:rPr>
          <w:rFonts w:ascii="Arial" w:cs="Arial" w:eastAsia="Arial" w:hAnsi="Arial"/>
          <w:color w:val="000000"/>
          <w:sz w:val="24"/>
          <w:szCs w:val="24"/>
          <w:rtl w:val="0"/>
        </w:rPr>
        <w:t xml:space="preserve">The Supplier warrants and represents to the Relevant Authority that as at the Start Date the long term credit ratings issued for the Monitored Companies by each of the Rating Agencies are as set out in Appendix 2. </w:t>
      </w:r>
    </w:p>
    <w:p w:rsidR="00000000" w:rsidDel="00000000" w:rsidP="00000000" w:rsidRDefault="00000000" w:rsidRPr="00000000" w14:paraId="000000F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0F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the quick ratio for the Monitored Company as at the end of each Contract Year or such other date as may be requested by the Relevant Authority.  For these purposes the "quick ratio" on any date means:</w:t>
      </w:r>
    </w:p>
    <w:p w:rsidR="00000000" w:rsidDel="00000000" w:rsidP="00000000" w:rsidRDefault="00000000" w:rsidRPr="00000000" w14:paraId="000000F6">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1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13"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left" w:leader="none" w:pos="3402"/>
        </w:tabs>
        <w:spacing w:after="22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w:t>
      </w:r>
    </w:p>
    <w:tbl>
      <w:tblPr>
        <w:tblStyle w:val="Table5"/>
        <w:tblW w:w="8317.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r>
          </w:p>
        </w:tc>
        <w:tc>
          <w:tcPr/>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r>
          </w:p>
        </w:tc>
        <w:tc>
          <w:tcPr/>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r>
          </w:p>
        </w:tc>
        <w:tc>
          <w:tcPr/>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all account receivables of the Monitored]; and</w:t>
            </w:r>
          </w:p>
        </w:tc>
      </w:tr>
      <w:tr>
        <w:trPr>
          <w:cantSplit w:val="0"/>
          <w:tblHeader w:val="0"/>
        </w:trPr>
        <w:tc>
          <w:tcPr/>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r>
          </w:p>
        </w:tc>
        <w:tc>
          <w:tcPr/>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the current liabilities of the Monitored Company].</w:t>
            </w:r>
          </w:p>
        </w:tc>
      </w:tr>
    </w:tbl>
    <w:p w:rsidR="00000000" w:rsidDel="00000000" w:rsidP="00000000" w:rsidRDefault="00000000" w:rsidRPr="00000000" w14:paraId="00000100">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23ckvvd" w:id="8"/>
      <w:bookmarkEnd w:id="8"/>
      <w:r w:rsidDel="00000000" w:rsidR="00000000" w:rsidRPr="00000000">
        <w:rPr>
          <w:rFonts w:ascii="Arial" w:cs="Arial" w:eastAsia="Arial" w:hAnsi="Arial"/>
          <w:color w:val="000000"/>
          <w:sz w:val="24"/>
          <w:szCs w:val="24"/>
          <w:rtl w:val="0"/>
        </w:rPr>
        <w:t xml:space="preserve">The Supplier shall: </w:t>
      </w:r>
    </w:p>
    <w:p w:rsidR="00000000" w:rsidDel="00000000" w:rsidP="00000000" w:rsidRDefault="00000000" w:rsidRPr="00000000" w14:paraId="00000101">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Monitored Company with the Rating Agencies; and </w:t>
      </w:r>
    </w:p>
    <w:p w:rsidR="00000000" w:rsidDel="00000000" w:rsidP="00000000" w:rsidRDefault="00000000" w:rsidRPr="00000000" w14:paraId="00000102">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ihv636" w:id="9"/>
      <w:bookmarkEnd w:id="9"/>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0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04">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What happens if there is a financial distress event</w:t>
      </w:r>
      <w:r w:rsidDel="00000000" w:rsidR="00000000" w:rsidRPr="00000000">
        <w:rPr>
          <w:rtl w:val="0"/>
        </w:rPr>
      </w:r>
    </w:p>
    <w:p w:rsidR="00000000" w:rsidDel="00000000" w:rsidP="00000000" w:rsidRDefault="00000000" w:rsidRPr="00000000" w14:paraId="0000010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32hioqz" w:id="10"/>
      <w:bookmarkEnd w:id="10"/>
      <w:r w:rsidDel="00000000" w:rsidR="00000000" w:rsidRPr="00000000">
        <w:rPr>
          <w:rFonts w:ascii="Arial" w:cs="Arial" w:eastAsia="Arial" w:hAnsi="Arial"/>
          <w:color w:val="000000"/>
          <w:sz w:val="24"/>
          <w:szCs w:val="24"/>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1134"/>
        </w:tabs>
        <w:spacing w:after="120" w:before="120" w:lineRule="auto"/>
        <w:ind w:left="936" w:hanging="1004"/>
        <w:jc w:val="left"/>
        <w:rPr>
          <w:rFonts w:ascii="Arial" w:cs="Arial" w:eastAsia="Arial" w:hAnsi="Arial"/>
          <w:b w:val="1"/>
          <w:bCs w:val="1"/>
          <w:smallCaps w:val="1"/>
          <w:color w:val="000000"/>
          <w:sz w:val="24"/>
          <w:szCs w:val="24"/>
        </w:rPr>
      </w:pPr>
      <w:bookmarkStart w:colFirst="0" w:colLast="0" w:name="_heading=h.1hmsyys" w:id="11"/>
      <w:bookmarkEnd w:id="11"/>
      <w:r w:rsidDel="00000000" w:rsidR="00000000" w:rsidRPr="00000000">
        <w:rPr>
          <w:rFonts w:ascii="Arial" w:cs="Arial" w:eastAsia="Arial" w:hAnsi="Arial"/>
          <w:b w:val="1"/>
          <w:bCs w:val="1"/>
          <w:color w:val="000000"/>
          <w:sz w:val="24"/>
          <w:szCs w:val="24"/>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07">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1mrcu09" w:id="12"/>
      <w:bookmarkEnd w:id="12"/>
      <w:r w:rsidDel="00000000" w:rsidR="00000000" w:rsidRPr="00000000">
        <w:rPr>
          <w:rFonts w:ascii="Arial" w:cs="Arial" w:eastAsia="Arial" w:hAnsi="Arial"/>
          <w:color w:val="000000"/>
          <w:sz w:val="24"/>
          <w:szCs w:val="24"/>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108">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3.4; </w:t>
      </w:r>
    </w:p>
    <w:p w:rsidR="00000000" w:rsidDel="00000000" w:rsidP="00000000" w:rsidRDefault="00000000" w:rsidRPr="00000000" w14:paraId="00000109">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0A">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0B">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10C">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bCs w:val="1"/>
          <w:smallCaps w:val="1"/>
          <w:color w:val="000000"/>
          <w:sz w:val="24"/>
          <w:szCs w:val="24"/>
        </w:rPr>
      </w:pPr>
      <w:bookmarkStart w:colFirst="0" w:colLast="0" w:name="_heading=h.46r0co2" w:id="13"/>
      <w:bookmarkEnd w:id="13"/>
      <w:r w:rsidDel="00000000" w:rsidR="00000000" w:rsidRPr="00000000">
        <w:rPr>
          <w:rFonts w:ascii="Arial" w:cs="Arial" w:eastAsia="Arial" w:hAnsi="Arial"/>
          <w:b w:val="1"/>
          <w:bCs w:val="1"/>
          <w:color w:val="000000"/>
          <w:sz w:val="24"/>
          <w:szCs w:val="24"/>
          <w:rtl w:val="0"/>
        </w:rPr>
        <w:t xml:space="preserve">What happens If your credit rating is still good</w:t>
      </w:r>
      <w:r w:rsidDel="00000000" w:rsidR="00000000" w:rsidRPr="00000000">
        <w:rPr>
          <w:rtl w:val="0"/>
        </w:rPr>
      </w:r>
    </w:p>
    <w:p w:rsidR="00000000" w:rsidDel="00000000" w:rsidP="00000000" w:rsidRDefault="00000000" w:rsidRPr="00000000" w14:paraId="0000010D">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0E">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10F">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 </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0" w:lineRule="auto"/>
        <w:jc w:val="left"/>
        <w:rPr>
          <w:rFonts w:ascii="Arial" w:cs="Arial" w:eastAsia="Arial" w:hAnsi="Arial"/>
          <w:color w:val="ffffff"/>
          <w:sz w:val="24"/>
          <w:szCs w:val="24"/>
        </w:rPr>
      </w:pPr>
      <w:bookmarkStart w:colFirst="0" w:colLast="0" w:name="_heading=h.4i7ojhp" w:id="14"/>
      <w:bookmarkEnd w:id="14"/>
      <w:r w:rsidDel="00000000" w:rsidR="00000000" w:rsidRPr="00000000">
        <w:rPr>
          <w:rtl w:val="0"/>
        </w:rPr>
      </w:r>
    </w:p>
    <w:p w:rsidR="00000000" w:rsidDel="00000000" w:rsidP="00000000" w:rsidRDefault="00000000" w:rsidRPr="00000000" w14:paraId="00000112">
      <w:pPr>
        <w:keepNext w:val="1"/>
        <w:pBdr>
          <w:top w:space="0" w:sz="0" w:val="nil"/>
          <w:left w:space="0" w:sz="0" w:val="nil"/>
          <w:bottom w:space="0" w:sz="0" w:val="nil"/>
          <w:right w:space="0" w:sz="0" w:val="nil"/>
          <w:between w:space="0" w:sz="0" w:val="nil"/>
        </w:pBdr>
        <w:ind w:firstLine="426"/>
        <w:jc w:val="left"/>
        <w:rPr>
          <w:rFonts w:ascii="Arial" w:cs="Arial" w:eastAsia="Arial" w:hAnsi="Arial"/>
          <w:b w:val="1"/>
          <w:bCs w:val="1"/>
          <w:smallCaps w:val="1"/>
          <w:color w:val="000000"/>
          <w:sz w:val="24"/>
          <w:szCs w:val="24"/>
        </w:rPr>
      </w:pPr>
      <w:bookmarkStart w:colFirst="0" w:colLast="0" w:name="_heading=h.2lwamvv" w:id="15"/>
      <w:bookmarkEnd w:id="15"/>
      <w:r w:rsidDel="00000000" w:rsidR="00000000" w:rsidRPr="00000000">
        <w:br w:type="page"/>
      </w:r>
      <w:r w:rsidDel="00000000" w:rsidR="00000000" w:rsidRPr="00000000">
        <w:rPr>
          <w:rtl w:val="0"/>
        </w:rPr>
      </w:r>
    </w:p>
    <w:p w:rsidR="00000000" w:rsidDel="00000000" w:rsidP="00000000" w:rsidRDefault="00000000" w:rsidRPr="00000000" w14:paraId="00000113">
      <w:pPr>
        <w:keepNext w:val="1"/>
        <w:pBdr>
          <w:top w:space="0" w:sz="0" w:val="nil"/>
          <w:left w:space="0" w:sz="0" w:val="nil"/>
          <w:bottom w:space="0" w:sz="0" w:val="nil"/>
          <w:right w:space="0" w:sz="0" w:val="nil"/>
          <w:between w:space="0" w:sz="0" w:val="nil"/>
        </w:pBdr>
        <w:ind w:firstLine="426"/>
        <w:jc w:val="left"/>
        <w:rPr>
          <w:rFonts w:ascii="Arial" w:cs="Arial" w:eastAsia="Arial" w:hAnsi="Arial"/>
          <w:b w:val="1"/>
          <w:bCs w:val="1"/>
          <w:smallCaps w:val="1"/>
          <w:color w:val="000000"/>
          <w:sz w:val="36"/>
          <w:szCs w:val="36"/>
        </w:rPr>
      </w:pPr>
      <w:bookmarkStart w:colFirst="0" w:colLast="0" w:name="_heading=h.111kx3o" w:id="16"/>
      <w:bookmarkEnd w:id="16"/>
      <w:r w:rsidDel="00000000" w:rsidR="00000000" w:rsidRPr="00000000">
        <w:rPr>
          <w:rFonts w:ascii="Arial" w:cs="Arial" w:eastAsia="Arial" w:hAnsi="Arial"/>
          <w:b w:val="1"/>
          <w:bCs w:val="1"/>
          <w:smallCaps w:val="1"/>
          <w:color w:val="000000"/>
          <w:sz w:val="36"/>
          <w:szCs w:val="36"/>
          <w:rtl w:val="0"/>
        </w:rPr>
        <w:t xml:space="preserve">Appendix 1: RATING AGENCIES</w:t>
      </w:r>
    </w:p>
    <w:p w:rsidR="00000000" w:rsidDel="00000000" w:rsidP="00000000" w:rsidRDefault="00000000" w:rsidRPr="00000000" w14:paraId="00000114">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Dunn and Bradstreet</w:t>
      </w:r>
    </w:p>
    <w:p w:rsidR="00000000" w:rsidDel="00000000" w:rsidP="00000000" w:rsidRDefault="00000000" w:rsidRPr="00000000" w14:paraId="00000115">
      <w:pPr>
        <w:keepNext w:val="1"/>
        <w:pBdr>
          <w:top w:space="0" w:sz="0" w:val="nil"/>
          <w:left w:space="0" w:sz="0" w:val="nil"/>
          <w:bottom w:space="0" w:sz="0" w:val="nil"/>
          <w:right w:space="0" w:sz="0" w:val="nil"/>
          <w:between w:space="0" w:sz="0" w:val="nil"/>
        </w:pBdr>
        <w:ind w:firstLine="426"/>
        <w:jc w:val="left"/>
        <w:rPr>
          <w:rFonts w:ascii="Arial" w:cs="Arial" w:eastAsia="Arial" w:hAnsi="Arial"/>
          <w:b w:val="1"/>
          <w:bCs w:val="1"/>
          <w:smallCaps w:val="1"/>
          <w:color w:val="000000"/>
          <w:sz w:val="24"/>
          <w:szCs w:val="24"/>
        </w:rPr>
      </w:pPr>
      <w:bookmarkStart w:colFirst="0" w:colLast="0" w:name="_heading=h.3l18frh" w:id="17"/>
      <w:bookmarkEnd w:id="17"/>
      <w:r w:rsidDel="00000000" w:rsidR="00000000" w:rsidRPr="00000000">
        <w:br w:type="page"/>
      </w:r>
      <w:r w:rsidDel="00000000" w:rsidR="00000000" w:rsidRPr="00000000">
        <w:rPr>
          <w:rFonts w:ascii="Arial" w:cs="Arial" w:eastAsia="Arial" w:hAnsi="Arial"/>
          <w:b w:val="1"/>
          <w:bCs w:val="1"/>
          <w:smallCaps w:val="1"/>
          <w:color w:val="000000"/>
          <w:sz w:val="36"/>
          <w:szCs w:val="36"/>
          <w:rtl w:val="0"/>
        </w:rPr>
        <w:t xml:space="preserve">Appendix 2: CREDIT RATINGS &amp; CREDIT RATING THRESHOLDS</w:t>
      </w:r>
      <w:r w:rsidDel="00000000" w:rsidR="00000000" w:rsidRPr="00000000">
        <w:rPr>
          <w:rtl w:val="0"/>
        </w:rPr>
      </w:r>
    </w:p>
    <w:p w:rsidR="00000000" w:rsidDel="00000000" w:rsidP="00000000" w:rsidRDefault="00000000" w:rsidRPr="00000000" w14:paraId="00000116">
      <w:pPr>
        <w:keepNext w:val="1"/>
        <w:pBdr>
          <w:top w:space="0" w:sz="0" w:val="nil"/>
          <w:left w:space="0" w:sz="0" w:val="nil"/>
          <w:bottom w:space="0" w:sz="0" w:val="nil"/>
          <w:right w:space="0" w:sz="0" w:val="nil"/>
          <w:between w:space="0" w:sz="0" w:val="nil"/>
        </w:pBdr>
        <w:ind w:firstLine="426"/>
        <w:jc w:val="left"/>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Part 1: Current Rating</w:t>
      </w:r>
      <w:r w:rsidDel="00000000" w:rsidR="00000000" w:rsidRPr="00000000">
        <w:rPr>
          <w:rtl w:val="0"/>
        </w:rPr>
      </w:r>
    </w:p>
    <w:tbl>
      <w:tblPr>
        <w:tblStyle w:val="Table6"/>
        <w:tblW w:w="6168.000000000001"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gridCol w:w="7"/>
        <w:tblGridChange w:id="0">
          <w:tblGrid>
            <w:gridCol w:w="3080"/>
            <w:gridCol w:w="3081"/>
            <w:gridCol w:w="7"/>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17">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118">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119">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gridSpan w:val="2"/>
            <w:shd w:fill="ffffff" w:val="clear"/>
          </w:tcPr>
          <w:p w:rsidR="00000000" w:rsidDel="00000000" w:rsidP="00000000" w:rsidRDefault="00000000" w:rsidRPr="00000000" w14:paraId="0000011A">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bookmarkStart w:colFirst="0" w:colLast="0" w:name="_heading=h.206ipza" w:id="18"/>
            <w:bookmarkEnd w:id="18"/>
            <w:r w:rsidDel="00000000" w:rsidR="00000000" w:rsidRPr="00000000">
              <w:rPr>
                <w:rFonts w:ascii="Arial" w:cs="Arial" w:eastAsia="Arial" w:hAnsi="Arial"/>
                <w:color w:val="000000"/>
                <w:sz w:val="24"/>
                <w:szCs w:val="24"/>
                <w:rtl w:val="0"/>
              </w:rPr>
              <w:t xml:space="preserve">50</w:t>
            </w:r>
          </w:p>
        </w:tc>
      </w:tr>
    </w:tbl>
    <w:p w:rsidR="00000000" w:rsidDel="00000000" w:rsidP="00000000" w:rsidRDefault="00000000" w:rsidRPr="00000000" w14:paraId="000001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D">
      <w:pPr>
        <w:spacing w:after="200" w:line="276" w:lineRule="auto"/>
        <w:jc w:val="left"/>
        <w:rPr>
          <w:rFonts w:ascii="Arial" w:cs="Arial" w:eastAsia="Arial" w:hAnsi="Arial"/>
          <w:sz w:val="24"/>
          <w:szCs w:val="24"/>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RM6257</w:t>
      <w:tab/>
      <w:t xml:space="preserve">                                           </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bookmarkStart w:colFirst="0" w:colLast="0" w:name="_heading=h.gjdgxs" w:id="19"/>
    <w:bookmarkEnd w:id="19"/>
    <w:r w:rsidDel="00000000" w:rsidR="00000000" w:rsidRPr="00000000">
      <w:rPr>
        <w:rFonts w:ascii="Arial" w:cs="Arial" w:eastAsia="Arial" w:hAnsi="Arial"/>
        <w:color w:val="000000"/>
        <w:sz w:val="20"/>
        <w:szCs w:val="20"/>
        <w:rtl w:val="0"/>
      </w:rPr>
      <w:t xml:space="preserve">Project Version: v2</w:t>
    </w:r>
    <w:r w:rsidDel="00000000" w:rsidR="00000000" w:rsidRPr="00000000">
      <w:rPr>
        <w:rtl w:val="0"/>
      </w:rPr>
      <w:t xml:space="preserve">     </w:t>
    </w:r>
    <w:r w:rsidDel="00000000" w:rsidR="00000000" w:rsidRPr="00000000">
      <w:rPr>
        <w:rFonts w:ascii="Arial" w:cs="Arial" w:eastAsia="Arial" w:hAnsi="Arial"/>
        <w:color w:val="000000"/>
        <w:sz w:val="20"/>
        <w:szCs w:val="20"/>
        <w:rtl w:val="0"/>
      </w:rPr>
      <w:t xml:space="preserve">.0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5">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6">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8">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2021</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bCs w:val="0"/>
        <w:i w:val="0"/>
        <w:iCs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bCs w:val="0"/>
        <w:i w:val="0"/>
        <w:iCs w:val="0"/>
        <w:smallCaps w:val="0"/>
        <w:strike w:val="0"/>
        <w:color w:val="000000"/>
        <w:sz w:val="24"/>
        <w:szCs w:val="24"/>
        <w:u w:val="none"/>
        <w:vertAlign w:val="baseline"/>
      </w:rPr>
    </w:lvl>
    <w:lvl w:ilvl="4">
      <w:start w:val="1"/>
      <w:numFmt w:val="lowerRoman"/>
      <w:lvlText w:val="(%5)"/>
      <w:lvlJc w:val="left"/>
      <w:pPr>
        <w:ind w:left="1440" w:hanging="1080"/>
      </w:pPr>
      <w:rPr>
        <w:i w:val="0"/>
        <w:iCs w:val="0"/>
        <w:smallCaps w:val="0"/>
        <w:strike w:val="0"/>
        <w:color w:val="000000"/>
        <w:u w:val="none"/>
        <w:vertAlign w:val="baseline"/>
      </w:rPr>
    </w:lvl>
    <w:lvl w:ilvl="5">
      <w:start w:val="1"/>
      <w:numFmt w:val="upperLetter"/>
      <w:lvlText w:val="(%6)"/>
      <w:lvlJc w:val="left"/>
      <w:pPr>
        <w:ind w:left="1440" w:hanging="1080"/>
      </w:pPr>
      <w:rPr>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360" w:hanging="36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bCs w:val="0"/>
        <w:i w:val="0"/>
        <w:iCs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bCs w:val="0"/>
        <w:i w:val="0"/>
        <w:iCs w:val="0"/>
        <w:smallCaps w:val="0"/>
        <w:strike w:val="0"/>
        <w:color w:val="000000"/>
        <w:sz w:val="24"/>
        <w:szCs w:val="24"/>
        <w:u w:val="none"/>
        <w:vertAlign w:val="baseline"/>
      </w:rPr>
    </w:lvl>
    <w:lvl w:ilvl="4">
      <w:start w:val="1"/>
      <w:numFmt w:val="lowerRoman"/>
      <w:lvlText w:val="(%5)"/>
      <w:lvlJc w:val="left"/>
      <w:pPr>
        <w:ind w:left="1440" w:hanging="1080"/>
      </w:pPr>
      <w:rPr>
        <w:i w:val="0"/>
        <w:iCs w:val="0"/>
        <w:smallCaps w:val="0"/>
        <w:strike w:val="0"/>
        <w:color w:val="000000"/>
        <w:u w:val="none"/>
        <w:vertAlign w:val="baseline"/>
      </w:rPr>
    </w:lvl>
    <w:lvl w:ilvl="5">
      <w:start w:val="1"/>
      <w:numFmt w:val="upperLetter"/>
      <w:lvlText w:val="(%6)"/>
      <w:lvlJc w:val="left"/>
      <w:pPr>
        <w:ind w:left="1440" w:hanging="1080"/>
      </w:pPr>
      <w:rPr>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spacing w:after="120" w:before="240"/>
      <w:ind w:left="142"/>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spacing w:before="120"/>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spacing w:after="120" w:before="120"/>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spacing w:after="120" w:before="120"/>
      <w:ind w:hanging="218"/>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spacing w:after="120" w:before="120"/>
      <w:ind w:left="1985"/>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ind w:firstLine="426"/>
      <w:jc w:val="center"/>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paragraph" w:styleId="StdBodyText" w:customStyle="1">
    <w:name w:val="Std Body Text"/>
    <w:basedOn w:val="Normal"/>
    <w:qFormat w:val="1"/>
    <w:rsid w:val="00106E9B"/>
    <w:pPr>
      <w:spacing w:after="200" w:before="100"/>
      <w:jc w:val="left"/>
    </w:pPr>
    <w:rPr>
      <w:rFonts w:ascii="Arial" w:cs="Times New Roman" w:hAnsi="Arial"/>
      <w:sz w:val="24"/>
      <w:szCs w:val="24"/>
    </w:rPr>
  </w:style>
  <w:style w:type="paragraph" w:styleId="StdBodyTextBold" w:customStyle="1">
    <w:name w:val="Std Body Text Bold"/>
    <w:basedOn w:val="Normal"/>
    <w:next w:val="StdBodyText"/>
    <w:link w:val="StdBodyTextBoldChar"/>
    <w:qFormat w:val="1"/>
    <w:rsid w:val="00106E9B"/>
    <w:pPr>
      <w:spacing w:after="200" w:before="100"/>
      <w:jc w:val="left"/>
    </w:pPr>
    <w:rPr>
      <w:rFonts w:ascii="Arial" w:cs="Times New Roman" w:hAnsi="Arial"/>
      <w:b w:val="1"/>
      <w:sz w:val="24"/>
      <w:szCs w:val="24"/>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spacing w:after="300" w:before="100"/>
      <w:jc w:val="center"/>
    </w:pPr>
    <w:rPr>
      <w:rFonts w:ascii="Arial Bold" w:cs="Times New Roman" w:hAnsi="Arial Bold"/>
      <w:b w:val="1"/>
      <w:caps w:val="1"/>
      <w:sz w:val="24"/>
      <w:szCs w:val="24"/>
    </w:rPr>
  </w:style>
  <w:style w:type="paragraph" w:styleId="AppendixText1" w:customStyle="1">
    <w:name w:val="Appendix Text 1"/>
    <w:basedOn w:val="Normal"/>
    <w:next w:val="StdBodyText1"/>
    <w:rsid w:val="006B02AC"/>
    <w:pPr>
      <w:numPr>
        <w:numId w:val="5"/>
      </w:numPr>
      <w:spacing w:after="200" w:before="100"/>
      <w:jc w:val="left"/>
    </w:pPr>
    <w:rPr>
      <w:rFonts w:ascii="Arial" w:cs="Times New Roman" w:hAnsi="Arial"/>
      <w:b w:val="1"/>
      <w:sz w:val="24"/>
      <w:szCs w:val="24"/>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spacing w:after="200" w:before="100"/>
      <w:jc w:val="left"/>
    </w:pPr>
    <w:rPr>
      <w:rFonts w:ascii="Arial" w:cs="Times New Roman" w:hAnsi="Arial"/>
      <w:sz w:val="24"/>
      <w:szCs w:val="24"/>
    </w:rPr>
  </w:style>
  <w:style w:type="paragraph" w:styleId="AppendixText4" w:customStyle="1">
    <w:name w:val="Appendix Text 4"/>
    <w:basedOn w:val="Normal"/>
    <w:next w:val="Normal"/>
    <w:rsid w:val="006B02AC"/>
    <w:pPr>
      <w:numPr>
        <w:ilvl w:val="3"/>
        <w:numId w:val="5"/>
      </w:numPr>
      <w:tabs>
        <w:tab w:val="left" w:pos="720"/>
        <w:tab w:val="left" w:pos="1803"/>
      </w:tabs>
      <w:spacing w:after="200" w:before="100"/>
      <w:jc w:val="left"/>
    </w:pPr>
    <w:rPr>
      <w:rFonts w:ascii="Arial" w:cs="Times New Roman" w:hAnsi="Arial"/>
      <w:sz w:val="24"/>
      <w:szCs w:val="24"/>
    </w:rPr>
  </w:style>
  <w:style w:type="paragraph" w:styleId="AppendixText5" w:customStyle="1">
    <w:name w:val="Appendix Text 5"/>
    <w:basedOn w:val="Normal"/>
    <w:next w:val="Normal"/>
    <w:rsid w:val="006B02AC"/>
    <w:pPr>
      <w:numPr>
        <w:ilvl w:val="4"/>
        <w:numId w:val="5"/>
      </w:numPr>
      <w:tabs>
        <w:tab w:val="left" w:pos="720"/>
        <w:tab w:val="left" w:pos="2523"/>
      </w:tabs>
      <w:spacing w:after="200" w:before="100"/>
      <w:jc w:val="left"/>
    </w:pPr>
    <w:rPr>
      <w:rFonts w:ascii="Arial" w:cs="Times New Roman" w:hAnsi="Arial"/>
      <w:sz w:val="24"/>
      <w:szCs w:val="24"/>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style>
  <w:style w:type="numbering" w:styleId="Scheduleheading" w:customStyle="1">
    <w:name w:val="Schedule heading"/>
    <w:uiPriority w:val="99"/>
    <w:rsid w:val="0034142A"/>
  </w:style>
  <w:style w:type="paragraph" w:styleId="StdBodyText4" w:customStyle="1">
    <w:name w:val="Std Body Text 4"/>
    <w:basedOn w:val="Normal"/>
    <w:rsid w:val="0034142A"/>
    <w:pPr>
      <w:spacing w:after="200" w:before="100"/>
      <w:ind w:left="1803"/>
      <w:jc w:val="left"/>
    </w:pPr>
    <w:rPr>
      <w:rFonts w:ascii="Arial" w:cs="Times New Roman" w:hAnsi="Arial"/>
      <w:sz w:val="24"/>
      <w:szCs w:val="24"/>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table" w:styleId="a" w:customStyle="1">
    <w:basedOn w:val="TableNormal"/>
    <w:pPr>
      <w:spacing w:after="0"/>
    </w:pPr>
    <w:rPr>
      <w:sz w:val="20"/>
      <w:szCs w:val="20"/>
    </w:rPr>
    <w:tblPr>
      <w:tblStyleRowBandSize w:val="1"/>
      <w:tblStyleColBandSize w:val="1"/>
    </w:tblPr>
  </w:style>
  <w:style w:type="table" w:styleId="a0" w:customStyle="1">
    <w:basedOn w:val="TableNormal"/>
    <w:pPr>
      <w:spacing w:after="0"/>
    </w:pPr>
    <w:rPr>
      <w:sz w:val="20"/>
      <w:szCs w:val="20"/>
    </w:rPr>
    <w:tblPr>
      <w:tblStyleRowBandSize w:val="1"/>
      <w:tblStyleColBandSize w:val="1"/>
    </w:tblPr>
  </w:style>
  <w:style w:type="table" w:styleId="a1" w:customStyle="1">
    <w:basedOn w:val="TableNormal"/>
    <w:pPr>
      <w:spacing w:after="0"/>
    </w:pPr>
    <w:rPr>
      <w:sz w:val="20"/>
      <w:szCs w:val="20"/>
    </w:rPr>
    <w:tblPr>
      <w:tblStyleRowBandSize w:val="1"/>
      <w:tblStyleColBandSize w:val="1"/>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pPr>
      <w:spacing w:after="0"/>
    </w:pPr>
    <w:rPr>
      <w:sz w:val="20"/>
      <w:szCs w:val="20"/>
    </w:rPr>
    <w:tblPr>
      <w:tblStyleRowBandSize w:val="1"/>
      <w:tblStyleColBandSize w:val="1"/>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pPr>
      <w:spacing w:after="0"/>
    </w:pPr>
    <w:rPr>
      <w:sz w:val="20"/>
      <w:szCs w:val="20"/>
    </w:rPr>
    <w:tblPr>
      <w:tblStyleRowBandSize w:val="1"/>
      <w:tblStyleColBandSize w:val="1"/>
      <w:tblCellMar>
        <w:left w:w="115.0" w:type="dxa"/>
        <w:right w:w="115.0" w:type="dxa"/>
      </w:tblCellMar>
    </w:tblPr>
  </w:style>
  <w:style w:type="table" w:styleId="a8" w:customStyle="1">
    <w:basedOn w:val="TableNormal"/>
    <w:pPr>
      <w:spacing w:after="0"/>
    </w:pPr>
    <w:rPr>
      <w:sz w:val="20"/>
      <w:szCs w:val="20"/>
    </w:rPr>
    <w:tblPr>
      <w:tblStyleRowBandSize w:val="1"/>
      <w:tblStyleColBandSize w:val="1"/>
      <w:tblCellMar>
        <w:left w:w="115.0" w:type="dxa"/>
        <w:right w:w="115.0" w:type="dxa"/>
      </w:tblCellMar>
    </w:tblPr>
  </w:style>
  <w:style w:type="table" w:styleId="a9" w:customStyle="1">
    <w:basedOn w:val="TableNormal"/>
    <w:pPr>
      <w:spacing w:after="0"/>
    </w:pPr>
    <w:rPr>
      <w:sz w:val="20"/>
      <w:szCs w:val="20"/>
    </w:rPr>
    <w:tblPr>
      <w:tblStyleRowBandSize w:val="1"/>
      <w:tblStyleColBandSize w:val="1"/>
      <w:tblCellMar>
        <w:left w:w="115.0" w:type="dxa"/>
        <w:right w:w="115.0" w:type="dxa"/>
      </w:tblCellMar>
    </w:tblPr>
  </w:style>
  <w:style w:type="table" w:styleId="aa" w:customStyle="1">
    <w:basedOn w:val="TableNormal"/>
    <w:pPr>
      <w:spacing w:after="0"/>
    </w:pPr>
    <w:rPr>
      <w:sz w:val="20"/>
      <w:szCs w:val="20"/>
    </w:rPr>
    <w:tblPr>
      <w:tblStyleRowBandSize w:val="1"/>
      <w:tblStyleColBandSize w:val="1"/>
      <w:tblCellMar>
        <w:left w:w="115.0" w:type="dxa"/>
        <w:right w:w="115.0" w:type="dxa"/>
      </w:tblCellMar>
    </w:tblPr>
  </w:style>
  <w:style w:type="table" w:styleId="ab" w:customStyle="1">
    <w:basedOn w:val="TableNormal"/>
    <w:pPr>
      <w:spacing w:after="0"/>
    </w:pPr>
    <w:rPr>
      <w:sz w:val="20"/>
      <w:szCs w:val="20"/>
    </w:rPr>
    <w:tblPr>
      <w:tblStyleRowBandSize w:val="1"/>
      <w:tblStyleColBandSize w:val="1"/>
      <w:tblCellMar>
        <w:left w:w="115.0" w:type="dxa"/>
        <w:right w:w="115.0" w:type="dxa"/>
      </w:tblCellMar>
    </w:tblPr>
  </w:style>
  <w:style w:type="table" w:styleId="ac" w:customStyle="1">
    <w:basedOn w:val="TableNormal"/>
    <w:pPr>
      <w:spacing w:after="0"/>
    </w:pPr>
    <w:rPr>
      <w:sz w:val="20"/>
      <w:szCs w:val="20"/>
    </w:rPr>
    <w:tblPr>
      <w:tblStyleRowBandSize w:val="1"/>
      <w:tblStyleColBandSize w:val="1"/>
      <w:tblCellMar>
        <w:left w:w="115.0" w:type="dxa"/>
        <w:right w:w="115.0" w:type="dxa"/>
      </w:tblCellMar>
    </w:tblPr>
  </w:style>
  <w:style w:type="table" w:styleId="ad" w:customStyle="1">
    <w:basedOn w:val="TableNormal"/>
    <w:pPr>
      <w:spacing w:after="0"/>
    </w:pPr>
    <w:rPr>
      <w:sz w:val="20"/>
      <w:szCs w:val="20"/>
    </w:rPr>
    <w:tblPr>
      <w:tblStyleRowBandSize w:val="1"/>
      <w:tblStyleColBandSize w:val="1"/>
      <w:tblCellMar>
        <w:left w:w="115.0" w:type="dxa"/>
        <w:right w:w="115.0" w:type="dxa"/>
      </w:tblCellMar>
    </w:tblPr>
  </w:style>
  <w:style w:type="table" w:styleId="ae" w:customStyle="1">
    <w:basedOn w:val="TableNormal"/>
    <w:pPr>
      <w:spacing w:after="0"/>
    </w:pPr>
    <w:rPr>
      <w:sz w:val="20"/>
      <w:szCs w:val="20"/>
    </w:rPr>
    <w:tblPr>
      <w:tblStyleRowBandSize w:val="1"/>
      <w:tblStyleColBandSize w:val="1"/>
      <w:tblCellMar>
        <w:left w:w="115.0" w:type="dxa"/>
        <w:right w:w="115.0" w:type="dxa"/>
      </w:tblCellMar>
    </w:tblPr>
  </w:style>
  <w:style w:type="table" w:styleId="af" w:customStyle="1">
    <w:basedOn w:val="TableNormal"/>
    <w:pPr>
      <w:spacing w:after="0"/>
    </w:pPr>
    <w:rPr>
      <w:sz w:val="20"/>
      <w:szCs w:val="20"/>
    </w:rPr>
    <w:tblPr>
      <w:tblStyleRowBandSize w:val="1"/>
      <w:tblStyleColBandSize w:val="1"/>
      <w:tblCellMar>
        <w:left w:w="115.0" w:type="dxa"/>
        <w:right w:w="115.0" w:type="dxa"/>
      </w:tblCellMar>
    </w:tblPr>
  </w:style>
  <w:style w:type="table" w:styleId="af0" w:customStyle="1">
    <w:basedOn w:val="TableNormal"/>
    <w:pPr>
      <w:spacing w:after="0"/>
    </w:pPr>
    <w:rPr>
      <w:sz w:val="20"/>
      <w:szCs w:val="20"/>
    </w:rPr>
    <w:tblPr>
      <w:tblStyleRowBandSize w:val="1"/>
      <w:tblStyleColBandSize w:val="1"/>
      <w:tblCellMar>
        <w:left w:w="115.0" w:type="dxa"/>
        <w:right w:w="115.0" w:type="dxa"/>
      </w:tblCellMar>
    </w:tblPr>
  </w:style>
  <w:style w:type="table" w:styleId="af1" w:customStyle="1">
    <w:basedOn w:val="TableNormal"/>
    <w:pPr>
      <w:spacing w:after="0"/>
    </w:pPr>
    <w:rPr>
      <w:sz w:val="20"/>
      <w:szCs w:val="20"/>
    </w:rPr>
    <w:tblPr>
      <w:tblStyleRowBandSize w:val="1"/>
      <w:tblStyleColBandSize w:val="1"/>
      <w:tblCellMar>
        <w:left w:w="115.0" w:type="dxa"/>
        <w:right w:w="115.0" w:type="dxa"/>
      </w:tblCellMar>
    </w:tblPr>
  </w:style>
  <w:style w:type="table" w:styleId="af2" w:customStyle="1">
    <w:basedOn w:val="TableNormal"/>
    <w:pPr>
      <w:spacing w:after="0"/>
    </w:pPr>
    <w:rPr>
      <w:sz w:val="20"/>
      <w:szCs w:val="20"/>
    </w:rPr>
    <w:tblPr>
      <w:tblStyleRowBandSize w:val="1"/>
      <w:tblStyleColBandSize w:val="1"/>
      <w:tblCellMar>
        <w:left w:w="115.0" w:type="dxa"/>
        <w:right w:w="115.0" w:type="dxa"/>
      </w:tblCellMar>
    </w:tblPr>
  </w:style>
  <w:style w:type="table" w:styleId="af3" w:customStyle="1">
    <w:basedOn w:val="TableNormal"/>
    <w:pPr>
      <w:spacing w:after="0"/>
    </w:pPr>
    <w:rPr>
      <w:sz w:val="20"/>
      <w:szCs w:val="20"/>
    </w:rPr>
    <w:tblPr>
      <w:tblStyleRowBandSize w:val="1"/>
      <w:tblStyleColBandSize w:val="1"/>
      <w:tblCellMar>
        <w:left w:w="115.0" w:type="dxa"/>
        <w:right w:w="115.0" w:type="dxa"/>
      </w:tblCellMar>
    </w:tblPr>
  </w:style>
  <w:style w:type="table" w:styleId="af4" w:customStyle="1">
    <w:basedOn w:val="TableNormal"/>
    <w:pPr>
      <w:spacing w:after="0"/>
    </w:pPr>
    <w:rPr>
      <w:sz w:val="20"/>
      <w:szCs w:val="20"/>
    </w:rPr>
    <w:tblPr>
      <w:tblStyleRowBandSize w:val="1"/>
      <w:tblStyleColBandSize w:val="1"/>
      <w:tblCellMar>
        <w:left w:w="115.0" w:type="dxa"/>
        <w:right w:w="115.0" w:type="dxa"/>
      </w:tblCellMar>
    </w:tblPr>
  </w:style>
  <w:style w:type="table" w:styleId="af5" w:customStyle="1">
    <w:basedOn w:val="TableNormal"/>
    <w:pPr>
      <w:spacing w:after="0"/>
    </w:pPr>
    <w:rPr>
      <w:sz w:val="20"/>
      <w:szCs w:val="20"/>
    </w:rPr>
    <w:tblPr>
      <w:tblStyleRowBandSize w:val="1"/>
      <w:tblStyleColBandSize w:val="1"/>
      <w:tblCellMar>
        <w:left w:w="115.0" w:type="dxa"/>
        <w:right w:w="115.0" w:type="dxa"/>
      </w:tblCellMar>
    </w:tblPr>
  </w:style>
  <w:style w:type="table" w:styleId="af6" w:customStyle="1">
    <w:basedOn w:val="TableNormal"/>
    <w:pPr>
      <w:spacing w:after="0"/>
    </w:pPr>
    <w:rPr>
      <w:sz w:val="20"/>
      <w:szCs w:val="20"/>
    </w:rPr>
    <w:tblPr>
      <w:tblStyleRowBandSize w:val="1"/>
      <w:tblStyleColBandSize w:val="1"/>
      <w:tblCellMar>
        <w:left w:w="115.0" w:type="dxa"/>
        <w:right w:w="115.0" w:type="dxa"/>
      </w:tblCellMar>
    </w:tblPr>
  </w:style>
  <w:style w:type="table" w:styleId="af7" w:customStyle="1">
    <w:basedOn w:val="TableNormal"/>
    <w:pPr>
      <w:spacing w:after="0"/>
    </w:pPr>
    <w:rPr>
      <w:sz w:val="20"/>
      <w:szCs w:val="20"/>
    </w:rPr>
    <w:tblPr>
      <w:tblStyleRowBandSize w:val="1"/>
      <w:tblStyleColBandSize w:val="1"/>
      <w:tblCellMar>
        <w:left w:w="115.0" w:type="dxa"/>
        <w:right w:w="115.0" w:type="dxa"/>
      </w:tblCellMar>
    </w:tblPr>
  </w:style>
  <w:style w:type="table" w:styleId="af8" w:customStyle="1">
    <w:basedOn w:val="TableNormal"/>
    <w:pPr>
      <w:spacing w:after="0"/>
    </w:pPr>
    <w:rPr>
      <w:sz w:val="20"/>
      <w:szCs w:val="20"/>
    </w:rPr>
    <w:tblPr>
      <w:tblStyleRowBandSize w:val="1"/>
      <w:tblStyleColBandSize w:val="1"/>
      <w:tblCellMar>
        <w:left w:w="115.0" w:type="dxa"/>
        <w:right w:w="115.0" w:type="dxa"/>
      </w:tblCellMar>
    </w:tblPr>
  </w:style>
  <w:style w:type="table" w:styleId="af9" w:customStyle="1">
    <w:basedOn w:val="TableNormal"/>
    <w:pPr>
      <w:spacing w:after="0"/>
    </w:pPr>
    <w:rPr>
      <w:sz w:val="20"/>
      <w:szCs w:val="20"/>
    </w:rPr>
    <w:tblPr>
      <w:tblStyleRowBandSize w:val="1"/>
      <w:tblStyleColBandSize w:val="1"/>
      <w:tblCellMar>
        <w:left w:w="115.0" w:type="dxa"/>
        <w:right w:w="115.0" w:type="dxa"/>
      </w:tblCellMar>
    </w:tblPr>
  </w:style>
  <w:style w:type="table" w:styleId="afa" w:customStyle="1">
    <w:basedOn w:val="TableNormal"/>
    <w:pPr>
      <w:spacing w:after="0"/>
    </w:pPr>
    <w:rPr>
      <w:sz w:val="20"/>
      <w:szCs w:val="20"/>
    </w:rPr>
    <w:tblPr>
      <w:tblStyleRowBandSize w:val="1"/>
      <w:tblStyleColBandSize w:val="1"/>
      <w:tblCellMar>
        <w:left w:w="115.0" w:type="dxa"/>
        <w:right w:w="115.0" w:type="dxa"/>
      </w:tblCellMar>
    </w:tblPr>
  </w:style>
  <w:style w:type="table" w:styleId="afb" w:customStyle="1">
    <w:basedOn w:val="TableNormal"/>
    <w:pPr>
      <w:spacing w:after="0"/>
    </w:pPr>
    <w:rPr>
      <w:sz w:val="20"/>
      <w:szCs w:val="20"/>
    </w:rPr>
    <w:tblPr>
      <w:tblStyleRowBandSize w:val="1"/>
      <w:tblStyleColBandSize w:val="1"/>
      <w:tblCellMar>
        <w:left w:w="115.0" w:type="dxa"/>
        <w:right w:w="115.0" w:type="dxa"/>
      </w:tblCellMar>
    </w:tblPr>
  </w:style>
  <w:style w:type="table" w:styleId="afc" w:customStyle="1">
    <w:basedOn w:val="TableNormal"/>
    <w:pPr>
      <w:spacing w:after="0"/>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6">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15" Type="http://schemas.openxmlformats.org/officeDocument/2006/relationships/footer" Target="foot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o74B9Au9iw9QDVfwhokggsmS0g==">CgMxLjAyCWguM2R5NnZrbTIJaC4zd2h3bWw0MgloLjJibjZ3c3gyCGgucXNoNzBxMgloLjQ5eDJpazUyCWguMnAyY3NyeTIJaC4xNDduMnpyMgloLjNvN2FsbmsyCWguMjNja3Z2ZDIIaC5paHY2MzYyCWguMzJoaW9xejIJaC4xaG1zeXlzMgloLjFtcmN1MDkyCWguNDZyMGNvMjIJaC40aTdvamhwMgloLjJsd2FtdnYyCWguMTExa3gzbzIJaC4zbDE4ZnJoMgloLjIwNmlwemEyCGguZ2pkZ3hzOAByITF5aTVkdUE5aV9tVXp5NlhnSC1HbEJWOFNXODNhenAz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2025-10-21T21:53:00Z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